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64E2DE1F" w14:textId="44EB5879" w:rsidR="00477F7B" w:rsidRPr="006706F8" w:rsidRDefault="006A5934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kamery z oprogramowaniem pomiarowym</w:t>
      </w: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4CD5B02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25528E">
        <w:rPr>
          <w:color w:val="000000"/>
          <w:sz w:val="24"/>
        </w:rPr>
        <w:t>1</w:t>
      </w:r>
      <w:r w:rsidR="006A5934">
        <w:rPr>
          <w:color w:val="000000"/>
          <w:sz w:val="24"/>
        </w:rPr>
        <w:t>7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4ED36D75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28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69632673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11.01.2024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2E6448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53C755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3E8100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F3A10E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1411059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0DB52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7405" w:type="dxa"/>
        <w:tblLook w:val="04A0" w:firstRow="1" w:lastRow="0" w:firstColumn="1" w:lastColumn="0" w:noHBand="0" w:noVBand="1"/>
      </w:tblPr>
      <w:tblGrid>
        <w:gridCol w:w="4965"/>
        <w:gridCol w:w="2440"/>
      </w:tblGrid>
      <w:tr w:rsidR="006A5934" w:rsidRPr="009D7C23" w14:paraId="353C61C6" w14:textId="75993CCD" w:rsidTr="006A5934">
        <w:trPr>
          <w:trHeight w:val="322"/>
        </w:trPr>
        <w:tc>
          <w:tcPr>
            <w:tcW w:w="4965" w:type="dxa"/>
          </w:tcPr>
          <w:p w14:paraId="0CA1C62D" w14:textId="7ED60D54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6A5934">
        <w:trPr>
          <w:trHeight w:val="322"/>
        </w:trPr>
        <w:tc>
          <w:tcPr>
            <w:tcW w:w="4965" w:type="dxa"/>
          </w:tcPr>
          <w:p w14:paraId="4AD34BCE" w14:textId="77777777" w:rsidR="006A5934" w:rsidRDefault="006A5934" w:rsidP="006A5934">
            <w:r>
              <w:t>. Kamera szybka</w:t>
            </w:r>
          </w:p>
          <w:p w14:paraId="270FEA7D" w14:textId="77777777" w:rsidR="006A5934" w:rsidRDefault="006A5934" w:rsidP="006A5934"/>
          <w:p w14:paraId="28A39048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monochromatyczna wyposażona w sensor CMOS w technologii BSI (</w:t>
            </w:r>
            <w:proofErr w:type="spellStart"/>
            <w:r w:rsidRPr="006A5934">
              <w:rPr>
                <w:lang w:val="pl-PL"/>
              </w:rPr>
              <w:t>Back-Side</w:t>
            </w:r>
            <w:proofErr w:type="spellEnd"/>
            <w:r w:rsidRPr="006A5934">
              <w:rPr>
                <w:lang w:val="pl-PL"/>
              </w:rPr>
              <w:t xml:space="preserve"> </w:t>
            </w:r>
            <w:proofErr w:type="spellStart"/>
            <w:r w:rsidRPr="006A5934">
              <w:rPr>
                <w:lang w:val="pl-PL"/>
              </w:rPr>
              <w:t>Illuminated</w:t>
            </w:r>
            <w:proofErr w:type="spellEnd"/>
            <w:r w:rsidRPr="006A5934">
              <w:rPr>
                <w:lang w:val="pl-PL"/>
              </w:rPr>
              <w:t>) o rozdzielczości co najmniej 1 Megapiksela</w:t>
            </w:r>
          </w:p>
          <w:p w14:paraId="25E2EFF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Przepustowość nie mniejsza niż 36 </w:t>
            </w:r>
            <w:proofErr w:type="spellStart"/>
            <w:r w:rsidRPr="006A5934">
              <w:rPr>
                <w:lang w:val="pl-PL"/>
              </w:rPr>
              <w:t>Gpx</w:t>
            </w:r>
            <w:proofErr w:type="spellEnd"/>
            <w:r w:rsidRPr="006A5934">
              <w:rPr>
                <w:lang w:val="pl-PL"/>
              </w:rPr>
              <w:t>/s</w:t>
            </w:r>
          </w:p>
          <w:p w14:paraId="0E1C164C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Długość osi poziomej sensora minimum 1280 pikseli</w:t>
            </w:r>
          </w:p>
          <w:p w14:paraId="66900CFE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proofErr w:type="spellStart"/>
            <w:r>
              <w:t>Wymiary</w:t>
            </w:r>
            <w:proofErr w:type="spellEnd"/>
            <w:r>
              <w:t xml:space="preserve"> </w:t>
            </w:r>
            <w:proofErr w:type="spellStart"/>
            <w:r>
              <w:t>sensora</w:t>
            </w:r>
            <w:proofErr w:type="spellEnd"/>
            <w:r>
              <w:t xml:space="preserve"> minimum 23 x 15 mm</w:t>
            </w:r>
          </w:p>
          <w:p w14:paraId="3F4F4CA2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r w:rsidRPr="006A5934">
              <w:rPr>
                <w:lang w:val="pl-PL"/>
              </w:rPr>
              <w:t xml:space="preserve">Sensor posiadający możliwość łączenia kilku pikseli w jeden piksel, celem podniesienia prędkości rejestracji (tzw. </w:t>
            </w:r>
            <w:r>
              <w:t>Binning)</w:t>
            </w:r>
          </w:p>
          <w:p w14:paraId="603BACF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Parametry sensora (według raportu wykonanego w ramach normy EMVA 1288) nie gorsze niż:</w:t>
            </w:r>
          </w:p>
          <w:p w14:paraId="6C66FF21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Minimalny stosunek sygnału do szumu (Max. SNR): nie mniejszy niż 39 </w:t>
            </w:r>
            <w:proofErr w:type="spellStart"/>
            <w:r w:rsidRPr="006A5934">
              <w:rPr>
                <w:lang w:val="pl-PL"/>
              </w:rPr>
              <w:t>dB</w:t>
            </w:r>
            <w:proofErr w:type="spellEnd"/>
            <w:r w:rsidRPr="006A5934">
              <w:rPr>
                <w:lang w:val="pl-PL"/>
              </w:rPr>
              <w:t xml:space="preserve"> w trybie Standard</w:t>
            </w:r>
          </w:p>
          <w:p w14:paraId="465683CF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Maksymalny szum odczytu (Read </w:t>
            </w:r>
            <w:proofErr w:type="spellStart"/>
            <w:r w:rsidRPr="006A5934">
              <w:rPr>
                <w:lang w:val="pl-PL"/>
              </w:rPr>
              <w:t>Noise</w:t>
            </w:r>
            <w:proofErr w:type="spellEnd"/>
            <w:r w:rsidRPr="006A5934">
              <w:rPr>
                <w:lang w:val="pl-PL"/>
              </w:rPr>
              <w:t>/</w:t>
            </w:r>
            <w:proofErr w:type="spellStart"/>
            <w:r w:rsidRPr="006A5934">
              <w:rPr>
                <w:lang w:val="pl-PL"/>
              </w:rPr>
              <w:t>Temporal</w:t>
            </w:r>
            <w:proofErr w:type="spellEnd"/>
            <w:r w:rsidRPr="006A5934">
              <w:rPr>
                <w:lang w:val="pl-PL"/>
              </w:rPr>
              <w:t xml:space="preserve"> Dark </w:t>
            </w:r>
            <w:proofErr w:type="spellStart"/>
            <w:r w:rsidRPr="006A5934">
              <w:rPr>
                <w:lang w:val="pl-PL"/>
              </w:rPr>
              <w:t>Noise</w:t>
            </w:r>
            <w:proofErr w:type="spellEnd"/>
            <w:r w:rsidRPr="006A5934">
              <w:rPr>
                <w:lang w:val="pl-PL"/>
              </w:rPr>
              <w:t>): nie większy niż 24 e- w trybie Standard</w:t>
            </w:r>
          </w:p>
          <w:p w14:paraId="000B688E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Wielkość piksela min. 18 µm w trybie Standard oraz min. 37 </w:t>
            </w:r>
            <w:r>
              <w:t>μ</w:t>
            </w:r>
            <w:r w:rsidRPr="006A5934">
              <w:rPr>
                <w:lang w:val="pl-PL"/>
              </w:rPr>
              <w:t xml:space="preserve">m w trybie </w:t>
            </w:r>
            <w:proofErr w:type="spellStart"/>
            <w:r w:rsidRPr="006A5934">
              <w:rPr>
                <w:lang w:val="pl-PL"/>
              </w:rPr>
              <w:t>Binned</w:t>
            </w:r>
            <w:proofErr w:type="spellEnd"/>
          </w:p>
          <w:p w14:paraId="50B6C695" w14:textId="77777777" w:rsid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</w:pPr>
            <w:proofErr w:type="spellStart"/>
            <w:r>
              <w:t>Głębia</w:t>
            </w:r>
            <w:proofErr w:type="spellEnd"/>
            <w:r>
              <w:t xml:space="preserve"> </w:t>
            </w:r>
            <w:proofErr w:type="spellStart"/>
            <w:r>
              <w:t>bitowa</w:t>
            </w:r>
            <w:proofErr w:type="spellEnd"/>
            <w:r>
              <w:t xml:space="preserve"> </w:t>
            </w:r>
            <w:proofErr w:type="spellStart"/>
            <w:r>
              <w:t>sensora</w:t>
            </w:r>
            <w:proofErr w:type="spellEnd"/>
            <w:r>
              <w:t xml:space="preserve"> minimum 12bit</w:t>
            </w:r>
          </w:p>
          <w:p w14:paraId="0EED286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Na potwierdzenie powyższych wartości, Zamawiający wymaga przedstawienia kompletnego raportu w standardzie EMVA 1288.</w:t>
            </w:r>
          </w:p>
          <w:p w14:paraId="3B3402EF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Prędkość rejestracji min. 38 000 obrazów na sekundę w pełnej rozdzielczości</w:t>
            </w:r>
          </w:p>
          <w:p w14:paraId="55616CE8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Prędkość rejestracji min. 156 000 obrazów na sekundę w rozdzielczości 640 x 384 pikseli.</w:t>
            </w:r>
          </w:p>
          <w:p w14:paraId="159BD13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lastRenderedPageBreak/>
              <w:t>Maksymalna prędkość rejestracji co najmniej 770 000 obrazów na sekundę w rozdzielczości nie mniejszej niż 512 x 64 pikseli</w:t>
            </w:r>
          </w:p>
          <w:p w14:paraId="15B5985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Minimalny czas ekspozycji nie dłuższy niż 1µs</w:t>
            </w:r>
          </w:p>
          <w:p w14:paraId="72A1793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Pamięć wewnętrzna RAM min. 64GB z możliwością przyszłego rozszerzenia do 256GB</w:t>
            </w:r>
          </w:p>
          <w:p w14:paraId="37B46E1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dawać możliwość podziału pamięci RAM na segmenty (minimum 60)</w:t>
            </w:r>
          </w:p>
          <w:p w14:paraId="1FEFBE2C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zostać wyposażona w wewnętrzną, mechaniczną migawkę kalibracyjną umożliwiającą zdalne zasłonięcie sensora i przeprowadzanie kalibracji dla danych ustawień w zakresie rozdzielczości i czasu ekspozycji</w:t>
            </w:r>
          </w:p>
          <w:p w14:paraId="4B5F6DB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przyciski na obudowie, umożliwiające wyzwolenie nagrania oraz sterowanie parametrami urządzenia, tj. co najmniej rozdzielczością, prędkością rejestracji, czasem ekspozycji bez użycia komputera</w:t>
            </w:r>
          </w:p>
          <w:p w14:paraId="27009CC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zastosowania dwóch różnych czasów ekspozycji dla jednego obrazu, zależnych od stopnia naświetlenia poszczególnych obszarów w rejestrowanym kadrze</w:t>
            </w:r>
          </w:p>
          <w:p w14:paraId="5D8B914D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Możliwość sterowania pracą kamery poprzez sygnał </w:t>
            </w:r>
            <w:proofErr w:type="spellStart"/>
            <w:r w:rsidRPr="006A5934">
              <w:rPr>
                <w:lang w:val="pl-PL"/>
              </w:rPr>
              <w:t>triggera</w:t>
            </w:r>
            <w:proofErr w:type="spellEnd"/>
            <w:r w:rsidRPr="006A5934">
              <w:rPr>
                <w:lang w:val="pl-PL"/>
              </w:rPr>
              <w:t xml:space="preserve"> – funkcja </w:t>
            </w:r>
            <w:proofErr w:type="spellStart"/>
            <w:r w:rsidRPr="006A5934">
              <w:rPr>
                <w:lang w:val="pl-PL"/>
              </w:rPr>
              <w:t>pre-trigger</w:t>
            </w:r>
            <w:proofErr w:type="spellEnd"/>
            <w:r w:rsidRPr="006A5934">
              <w:rPr>
                <w:lang w:val="pl-PL"/>
              </w:rPr>
              <w:t xml:space="preserve"> i post-</w:t>
            </w:r>
            <w:proofErr w:type="spellStart"/>
            <w:r w:rsidRPr="006A5934">
              <w:rPr>
                <w:lang w:val="pl-PL"/>
              </w:rPr>
              <w:t>trigger</w:t>
            </w:r>
            <w:proofErr w:type="spellEnd"/>
          </w:p>
          <w:p w14:paraId="4E521F5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Komunikacja z komputerem poprzez interfejs 1 Gigabit Ethernet oraz 10 Gigabit Ethernet. </w:t>
            </w:r>
          </w:p>
          <w:p w14:paraId="3F89742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przyszłej rozbudowy o zestaw do przesyłania danych za pomocą światłowodu</w:t>
            </w:r>
          </w:p>
          <w:p w14:paraId="17398EFA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złącze umożliwiające bezpośrednie zasilenie monitora podglądowego</w:t>
            </w:r>
          </w:p>
          <w:p w14:paraId="162ED701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wyjścia video:</w:t>
            </w:r>
          </w:p>
          <w:p w14:paraId="1DFAEE19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co najmniej jedno wyjście typu Din</w:t>
            </w:r>
          </w:p>
          <w:p w14:paraId="3E8CF96B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co najmniej jedno wyjście typu </w:t>
            </w:r>
            <w:proofErr w:type="spellStart"/>
            <w:r w:rsidRPr="006A5934">
              <w:rPr>
                <w:lang w:val="pl-PL"/>
              </w:rPr>
              <w:t>Mircro</w:t>
            </w:r>
            <w:proofErr w:type="spellEnd"/>
            <w:r w:rsidRPr="006A5934">
              <w:rPr>
                <w:lang w:val="pl-PL"/>
              </w:rPr>
              <w:t>-HDMI</w:t>
            </w:r>
          </w:p>
          <w:p w14:paraId="41494A86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co najmniej jedno wyjście typu 3G-SDI BNC</w:t>
            </w:r>
          </w:p>
          <w:p w14:paraId="33BCC98D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wejście i wyjście dla kodu czasowego w standardach co najmniej IRIG B</w:t>
            </w:r>
          </w:p>
          <w:p w14:paraId="6C8CFC0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Mocowanie obiektywu typu Nikon F-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</w:p>
          <w:p w14:paraId="77ACFE77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Musi istnieć możliwość doposażenia kamery w mocowania do obiektywów w </w:t>
            </w:r>
            <w:r w:rsidRPr="006A5934">
              <w:rPr>
                <w:lang w:val="pl-PL"/>
              </w:rPr>
              <w:lastRenderedPageBreak/>
              <w:t>standardach Canon EOS-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  <w:r w:rsidRPr="006A5934">
              <w:rPr>
                <w:lang w:val="pl-PL"/>
              </w:rPr>
              <w:t>, PL-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  <w:r w:rsidRPr="006A5934">
              <w:rPr>
                <w:lang w:val="pl-PL"/>
              </w:rPr>
              <w:t xml:space="preserve"> i C-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</w:p>
          <w:p w14:paraId="42AB1357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Przynajmniej jeden z powyższych standardów optyki musi dawać możliwość sterowania parametrami obiektywu, tj. ostrością i przysłoną z poziomu oprogramowania </w:t>
            </w:r>
          </w:p>
          <w:p w14:paraId="3811D10A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Odporność operacyjna na udary nie mniejsza niż 30G, 11ms</w:t>
            </w:r>
          </w:p>
          <w:p w14:paraId="1E8D3DB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Wymiary kamery nie większe niż 13 x 13 x 21 cm</w:t>
            </w:r>
          </w:p>
          <w:p w14:paraId="2B8510C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Waga kamery nie większa niż 4,6 kg</w:t>
            </w:r>
          </w:p>
          <w:p w14:paraId="2AE0D1AC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proofErr w:type="spellStart"/>
            <w:r>
              <w:t>Uchwyt</w:t>
            </w:r>
            <w:proofErr w:type="spellEnd"/>
            <w:r>
              <w:t xml:space="preserve"> </w:t>
            </w:r>
            <w:proofErr w:type="spellStart"/>
            <w:r>
              <w:t>umożliwiający</w:t>
            </w:r>
            <w:proofErr w:type="spellEnd"/>
            <w:r>
              <w:t xml:space="preserve"> </w:t>
            </w:r>
            <w:proofErr w:type="spellStart"/>
            <w:r>
              <w:t>wygodne</w:t>
            </w:r>
            <w:proofErr w:type="spellEnd"/>
            <w:r>
              <w:t xml:space="preserve"> </w:t>
            </w:r>
            <w:proofErr w:type="spellStart"/>
            <w:r>
              <w:t>przenoszenie</w:t>
            </w:r>
            <w:proofErr w:type="spellEnd"/>
            <w:r>
              <w:t xml:space="preserve"> </w:t>
            </w:r>
            <w:proofErr w:type="spellStart"/>
            <w:r>
              <w:t>urządzenia</w:t>
            </w:r>
            <w:proofErr w:type="spellEnd"/>
          </w:p>
          <w:p w14:paraId="0DD87C3E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Odporna walizka transportowa z kółkami.</w:t>
            </w:r>
          </w:p>
          <w:p w14:paraId="4523184F" w14:textId="77777777" w:rsidR="006A5934" w:rsidRPr="006A5934" w:rsidRDefault="006A5934" w:rsidP="006A5934">
            <w:pPr>
              <w:pStyle w:val="Akapitzlist"/>
              <w:rPr>
                <w:lang w:val="pl-PL"/>
              </w:rPr>
            </w:pPr>
          </w:p>
          <w:p w14:paraId="6E687AF8" w14:textId="77777777" w:rsidR="006A5934" w:rsidRDefault="006A5934" w:rsidP="006A5934"/>
          <w:p w14:paraId="394267FE" w14:textId="77777777" w:rsidR="006A5934" w:rsidRDefault="006A5934" w:rsidP="006A5934">
            <w:r>
              <w:t>2. Oprogramowanie do akwizycji danych</w:t>
            </w:r>
          </w:p>
          <w:p w14:paraId="439C4454" w14:textId="77777777" w:rsidR="006A5934" w:rsidRDefault="006A5934" w:rsidP="006A5934"/>
          <w:p w14:paraId="5CF6282D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zawierać w zestawie oprogramowanie pozwalające na przeprowadzenie procesu rejestracji oraz analizy ruchu poruszających się obiektów, zarówno manualnej jak i automatycznej</w:t>
            </w:r>
          </w:p>
          <w:p w14:paraId="6A702222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Oprogramowanie musi umożliwiać śledzenie nielimitowanej liczby punktów (nie mniej niż 4 jednocześnie)</w:t>
            </w:r>
          </w:p>
          <w:p w14:paraId="6ADA5FBF" w14:textId="77777777" w:rsid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</w:pPr>
            <w:proofErr w:type="spellStart"/>
            <w:r>
              <w:t>Wymagane</w:t>
            </w:r>
            <w:proofErr w:type="spellEnd"/>
            <w:r>
              <w:t xml:space="preserve"> </w:t>
            </w:r>
            <w:proofErr w:type="spellStart"/>
            <w:r>
              <w:t>cechy</w:t>
            </w:r>
            <w:proofErr w:type="spellEnd"/>
            <w:r>
              <w:t xml:space="preserve"> i </w:t>
            </w:r>
            <w:proofErr w:type="spellStart"/>
            <w:r>
              <w:t>funkcjonalności</w:t>
            </w:r>
            <w:proofErr w:type="spellEnd"/>
            <w:r>
              <w:t xml:space="preserve"> </w:t>
            </w:r>
            <w:proofErr w:type="spellStart"/>
            <w:r>
              <w:t>oprogramowania</w:t>
            </w:r>
            <w:proofErr w:type="spellEnd"/>
            <w:r>
              <w:t xml:space="preserve">: </w:t>
            </w:r>
            <w:proofErr w:type="spellStart"/>
            <w:r>
              <w:t>tryb</w:t>
            </w:r>
            <w:proofErr w:type="spellEnd"/>
            <w:r>
              <w:t xml:space="preserve"> 2D, 2.5D &amp; DIC Analysis Trackers: DIC, Correlation, Quad, COG, Virtual Mouse tracker, Intersection, Corner Contour analysis, Correlation+, outline &amp; rotational volume, unlimited </w:t>
            </w:r>
            <w:proofErr w:type="spellStart"/>
            <w:r>
              <w:t>numer</w:t>
            </w:r>
            <w:proofErr w:type="spellEnd"/>
            <w:r>
              <w:t xml:space="preserve"> of points, Exclude/Include areas Point function, Combined image export, Image enhancement Multiple camera views, Manual, dynamic and static scaling User defined coordinate system, Multiple </w:t>
            </w:r>
            <w:proofErr w:type="spellStart"/>
            <w:r>
              <w:t>paralel</w:t>
            </w:r>
            <w:proofErr w:type="spellEnd"/>
            <w:r>
              <w:t xml:space="preserve"> motion planes Import data files, Angled Motion Planes (2.5D) Position, velocity &amp; acceleration, Distance &amp; angles Filtering data, Frequency analysis , classic &amp; auto Lens calibration XT and XY diagram, Time table &amp; point table, Multiple axes Advanced diagram, Image diagram, FFT diagram, Stick figures, Contour plotting, viewer.</w:t>
            </w:r>
          </w:p>
          <w:p w14:paraId="569803B8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Oprogramowanie z nielimitowaną ilością licencji wieczystych</w:t>
            </w:r>
          </w:p>
          <w:p w14:paraId="20D381E3" w14:textId="77777777" w:rsidR="006A5934" w:rsidRDefault="006A5934" w:rsidP="006A5934"/>
          <w:p w14:paraId="6D2AA559" w14:textId="77777777" w:rsidR="006A5934" w:rsidRDefault="006A5934" w:rsidP="006A5934"/>
          <w:p w14:paraId="181636E7" w14:textId="77777777" w:rsidR="006A5934" w:rsidRDefault="006A5934" w:rsidP="006A5934">
            <w:r>
              <w:lastRenderedPageBreak/>
              <w:t>3. Monitor podglądowy:</w:t>
            </w:r>
          </w:p>
          <w:p w14:paraId="2745013A" w14:textId="77777777" w:rsidR="006A5934" w:rsidRDefault="006A5934" w:rsidP="006A5934"/>
          <w:p w14:paraId="1D4CE896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>
              <w:t>rozdzielczości</w:t>
            </w:r>
            <w:proofErr w:type="spellEnd"/>
            <w:r>
              <w:t xml:space="preserve"> min. HD</w:t>
            </w:r>
          </w:p>
          <w:p w14:paraId="2A838627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przekątnej ekranu nie mniejszej niż 5.5 cala</w:t>
            </w:r>
          </w:p>
          <w:p w14:paraId="12BE60D6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wyposażony w złącze 3G HD-SDI</w:t>
            </w:r>
          </w:p>
          <w:p w14:paraId="2C959CFA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jasność</w:t>
            </w:r>
            <w:proofErr w:type="spellEnd"/>
            <w:r w:rsidRPr="00D3005E">
              <w:t xml:space="preserve"> min. 450 cd/m2</w:t>
            </w:r>
          </w:p>
          <w:p w14:paraId="02B3F53F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mocowanie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na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gwint</w:t>
            </w:r>
            <w:proofErr w:type="spellEnd"/>
            <w:r w:rsidRPr="00D3005E">
              <w:t xml:space="preserve"> ¼” BSW</w:t>
            </w:r>
          </w:p>
          <w:p w14:paraId="4CD41DDF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aluminiowa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obudowa</w:t>
            </w:r>
            <w:proofErr w:type="spellEnd"/>
          </w:p>
          <w:p w14:paraId="008ABF65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zasilania bateryjnego i przewodowego,</w:t>
            </w:r>
          </w:p>
          <w:p w14:paraId="65DD45D4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>
              <w:t>zasilacz</w:t>
            </w:r>
            <w:proofErr w:type="spellEnd"/>
            <w:r>
              <w:t>.</w:t>
            </w:r>
          </w:p>
          <w:p w14:paraId="74CCC26F" w14:textId="77777777" w:rsidR="006A5934" w:rsidRDefault="006A5934" w:rsidP="006A5934"/>
          <w:p w14:paraId="6E4C219F" w14:textId="77777777" w:rsidR="006A5934" w:rsidRDefault="006A5934" w:rsidP="006A5934"/>
          <w:p w14:paraId="79B2AFFE" w14:textId="77777777" w:rsidR="006A5934" w:rsidRDefault="006A5934" w:rsidP="006A5934">
            <w:r>
              <w:t>4. Wymagania pozostałe:</w:t>
            </w:r>
          </w:p>
          <w:p w14:paraId="57169E61" w14:textId="77777777" w:rsidR="006A5934" w:rsidRDefault="006A5934" w:rsidP="006A5934"/>
          <w:p w14:paraId="19C6D9DD" w14:textId="77777777" w:rsidR="006A5934" w:rsidRDefault="006A5934" w:rsidP="006A5934">
            <w:r>
              <w:t>•</w:t>
            </w:r>
            <w:r>
              <w:tab/>
              <w:t>Oferent musi potwierdzić posiadanie wiedzy i doświadczenia, poprzez wykazanie, iż w okresie ostatnich trzech lat przed upływem terminu składania ofert, a jeżeli okres prowadzenia działalności jest krótszy - w tym okresie, wykonał należycie co najmniej 5 dostaw kamer szybkich.</w:t>
            </w:r>
          </w:p>
          <w:p w14:paraId="7CA0B8F7" w14:textId="77777777" w:rsidR="006A5934" w:rsidRDefault="006A5934" w:rsidP="006A5934">
            <w:r>
              <w:t>•</w:t>
            </w:r>
            <w:r>
              <w:tab/>
              <w:t xml:space="preserve">Zamawiający dopuszcza dostawę kamery </w:t>
            </w:r>
            <w:proofErr w:type="spellStart"/>
            <w:r>
              <w:t>podemonstracyjnej</w:t>
            </w:r>
            <w:proofErr w:type="spellEnd"/>
            <w:r>
              <w:t>, objętej co najmniej 12 miesięczną gwarancją producenta.</w:t>
            </w:r>
          </w:p>
          <w:p w14:paraId="3CE4D916" w14:textId="77777777" w:rsidR="006A5934" w:rsidRDefault="006A5934" w:rsidP="006A5934">
            <w:r>
              <w:t>•</w:t>
            </w:r>
            <w:r>
              <w:tab/>
              <w:t>Wymagane jest dostarczenie dokumentacji i instrukcji w języku polskim lub angielskim</w:t>
            </w:r>
          </w:p>
          <w:p w14:paraId="3268F67D" w14:textId="77777777" w:rsidR="006A5934" w:rsidRDefault="006A5934" w:rsidP="006A5934">
            <w:r>
              <w:t>•</w:t>
            </w:r>
            <w:r>
              <w:tab/>
              <w:t>Czas dostawy do 28 grudnia 2023 r.</w:t>
            </w:r>
          </w:p>
          <w:p w14:paraId="7FC4D68C" w14:textId="77777777" w:rsidR="006A5934" w:rsidRDefault="006A5934" w:rsidP="006A5934"/>
          <w:p w14:paraId="3D67C174" w14:textId="77777777" w:rsidR="006A5934" w:rsidRDefault="006A5934" w:rsidP="006A5934"/>
          <w:p w14:paraId="3D09F981" w14:textId="1FBD2066" w:rsidR="006A5934" w:rsidRPr="00B620C2" w:rsidRDefault="006A5934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6A5934" w14:paraId="61A2F77C" w14:textId="77777777" w:rsidTr="006A5934">
        <w:trPr>
          <w:trHeight w:val="246"/>
        </w:trPr>
        <w:tc>
          <w:tcPr>
            <w:tcW w:w="4965" w:type="dxa"/>
          </w:tcPr>
          <w:p w14:paraId="5F76E12A" w14:textId="66FF84D5" w:rsidR="006A5934" w:rsidRPr="002D7D71" w:rsidRDefault="006A5934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 xml:space="preserve">Minimum 24 miesięcy </w:t>
            </w:r>
          </w:p>
        </w:tc>
        <w:tc>
          <w:tcPr>
            <w:tcW w:w="2440" w:type="dxa"/>
          </w:tcPr>
          <w:p w14:paraId="6EA8ED42" w14:textId="77777777" w:rsidR="006A5934" w:rsidRDefault="006A5934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04DD7738" w14:textId="2C0CD6A2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9B90B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5F6F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44E0964E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6A5934">
        <w:rPr>
          <w:rFonts w:ascii="Times New Roman" w:hAnsi="Times New Roman" w:cs="Times New Roman"/>
          <w:sz w:val="24"/>
          <w:szCs w:val="24"/>
        </w:rPr>
        <w:t>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D3E"/>
    <w:multiLevelType w:val="hybridMultilevel"/>
    <w:tmpl w:val="22AC747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3FD03DD2"/>
    <w:multiLevelType w:val="hybridMultilevel"/>
    <w:tmpl w:val="E4E4A04C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6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0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3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57431D"/>
    <w:multiLevelType w:val="hybridMultilevel"/>
    <w:tmpl w:val="C6007B2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A023D"/>
    <w:multiLevelType w:val="hybridMultilevel"/>
    <w:tmpl w:val="2CDC564E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D7F6F5A"/>
    <w:multiLevelType w:val="hybridMultilevel"/>
    <w:tmpl w:val="2780A43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4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9"/>
  </w:num>
  <w:num w:numId="2" w16cid:durableId="1491099876">
    <w:abstractNumId w:val="16"/>
  </w:num>
  <w:num w:numId="3" w16cid:durableId="1635217350">
    <w:abstractNumId w:val="18"/>
  </w:num>
  <w:num w:numId="4" w16cid:durableId="2076733024">
    <w:abstractNumId w:val="45"/>
  </w:num>
  <w:num w:numId="5" w16cid:durableId="1360621527">
    <w:abstractNumId w:val="22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6"/>
  </w:num>
  <w:num w:numId="9" w16cid:durableId="20776323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8"/>
  </w:num>
  <w:num w:numId="12" w16cid:durableId="1460029104">
    <w:abstractNumId w:val="10"/>
  </w:num>
  <w:num w:numId="13" w16cid:durableId="234323302">
    <w:abstractNumId w:val="6"/>
  </w:num>
  <w:num w:numId="14" w16cid:durableId="873886750">
    <w:abstractNumId w:val="48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9"/>
  </w:num>
  <w:num w:numId="18" w16cid:durableId="98643404">
    <w:abstractNumId w:val="23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6"/>
  </w:num>
  <w:num w:numId="23" w16cid:durableId="1629043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4"/>
  </w:num>
  <w:num w:numId="27" w16cid:durableId="1799832554">
    <w:abstractNumId w:val="14"/>
  </w:num>
  <w:num w:numId="28" w16cid:durableId="416024794">
    <w:abstractNumId w:val="12"/>
  </w:num>
  <w:num w:numId="29" w16cid:durableId="2082365443">
    <w:abstractNumId w:val="32"/>
  </w:num>
  <w:num w:numId="30" w16cid:durableId="2001615861">
    <w:abstractNumId w:val="33"/>
  </w:num>
  <w:num w:numId="31" w16cid:durableId="1620918309">
    <w:abstractNumId w:val="8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1"/>
  </w:num>
  <w:num w:numId="36" w16cid:durableId="793326014">
    <w:abstractNumId w:val="47"/>
  </w:num>
  <w:num w:numId="37" w16cid:durableId="274797805">
    <w:abstractNumId w:val="5"/>
  </w:num>
  <w:num w:numId="38" w16cid:durableId="1983190204">
    <w:abstractNumId w:val="20"/>
  </w:num>
  <w:num w:numId="39" w16cid:durableId="1437826807">
    <w:abstractNumId w:val="29"/>
  </w:num>
  <w:num w:numId="40" w16cid:durableId="1094518851">
    <w:abstractNumId w:val="31"/>
  </w:num>
  <w:num w:numId="41" w16cid:durableId="1525825572">
    <w:abstractNumId w:val="25"/>
  </w:num>
  <w:num w:numId="42" w16cid:durableId="1626279677">
    <w:abstractNumId w:val="43"/>
  </w:num>
  <w:num w:numId="43" w16cid:durableId="925963832">
    <w:abstractNumId w:val="11"/>
  </w:num>
  <w:num w:numId="44" w16cid:durableId="2029989677">
    <w:abstractNumId w:val="27"/>
  </w:num>
  <w:num w:numId="45" w16cid:durableId="1133987723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5853199">
    <w:abstractNumId w:val="24"/>
  </w:num>
  <w:num w:numId="48" w16cid:durableId="1981231137">
    <w:abstractNumId w:val="7"/>
  </w:num>
  <w:num w:numId="49" w16cid:durableId="261885956">
    <w:abstractNumId w:val="42"/>
  </w:num>
  <w:num w:numId="50" w16cid:durableId="1802109226">
    <w:abstractNumId w:val="37"/>
  </w:num>
  <w:num w:numId="51" w16cid:durableId="19560633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156D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53F1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</cp:revision>
  <dcterms:created xsi:type="dcterms:W3CDTF">2023-12-04T11:29:00Z</dcterms:created>
  <dcterms:modified xsi:type="dcterms:W3CDTF">2023-12-04T11:29:00Z</dcterms:modified>
</cp:coreProperties>
</file>