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E05A2A">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 xml:space="preserve">Postępowanie o udzielenie </w:t>
      </w:r>
      <w:proofErr w:type="spellStart"/>
      <w:r w:rsidRPr="00DB3CAF">
        <w:rPr>
          <w:color w:val="000000"/>
          <w:sz w:val="24"/>
        </w:rPr>
        <w:t>zamówienia</w:t>
      </w:r>
      <w:proofErr w:type="spellEnd"/>
      <w:r w:rsidRPr="00DB3CAF">
        <w:rPr>
          <w:color w:val="000000"/>
          <w:sz w:val="24"/>
        </w:rPr>
        <w:t xml:space="preserve">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37C6C">
        <w:rPr>
          <w:color w:val="000000"/>
          <w:sz w:val="24"/>
        </w:rPr>
        <w:t xml:space="preserve"> KZP/11</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6E3B47">
        <w:rPr>
          <w:color w:val="000000"/>
        </w:rPr>
        <w:t>…………………….</w:t>
      </w:r>
      <w:r w:rsidR="00E05A2A">
        <w:rPr>
          <w:color w:val="000000"/>
        </w:rPr>
        <w:t>dni kalendarzowych</w:t>
      </w:r>
      <w:r w:rsidR="009D711A">
        <w:rPr>
          <w:color w:val="000000"/>
        </w:rPr>
        <w:t xml:space="preserv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837C6C" w:rsidRPr="00DB3CAF" w:rsidRDefault="00837C6C" w:rsidP="00837C6C">
      <w:pPr>
        <w:rPr>
          <w:b/>
          <w:color w:val="000000"/>
        </w:rPr>
      </w:pPr>
      <w:r w:rsidRPr="00DB3CAF">
        <w:rPr>
          <w:b/>
          <w:color w:val="000000"/>
        </w:rPr>
        <w:t xml:space="preserve">Część </w:t>
      </w:r>
      <w:r>
        <w:rPr>
          <w:b/>
          <w:color w:val="000000"/>
        </w:rPr>
        <w:t>3</w:t>
      </w:r>
    </w:p>
    <w:p w:rsidR="00837C6C" w:rsidRPr="00DB3CAF" w:rsidRDefault="00837C6C" w:rsidP="00837C6C">
      <w:pPr>
        <w:rPr>
          <w:color w:val="000000"/>
        </w:rPr>
      </w:pPr>
    </w:p>
    <w:p w:rsidR="00837C6C" w:rsidRPr="00DB3CAF" w:rsidRDefault="00837C6C" w:rsidP="00837C6C">
      <w:pPr>
        <w:rPr>
          <w:color w:val="000000"/>
        </w:rPr>
      </w:pPr>
      <w:r w:rsidRPr="00DB3CAF">
        <w:rPr>
          <w:color w:val="000000"/>
        </w:rPr>
        <w:t>1. Cena za dostawę wraz z podatkiem VAT:                          złotych słownie.............................................................</w:t>
      </w:r>
      <w:r>
        <w:rPr>
          <w:color w:val="000000"/>
        </w:rPr>
        <w:t>...................................................................................................................................</w:t>
      </w:r>
      <w:r w:rsidRPr="00DB3CAF">
        <w:rPr>
          <w:color w:val="000000"/>
        </w:rPr>
        <w:t>.złotych).</w:t>
      </w:r>
    </w:p>
    <w:p w:rsidR="00837C6C" w:rsidRPr="00DB3CAF" w:rsidRDefault="00837C6C" w:rsidP="00837C6C">
      <w:pPr>
        <w:rPr>
          <w:color w:val="000000"/>
        </w:rPr>
      </w:pPr>
      <w:r w:rsidRPr="00DB3CAF">
        <w:rPr>
          <w:color w:val="000000"/>
        </w:rPr>
        <w:t xml:space="preserve">2. Termin dostawy: </w:t>
      </w:r>
      <w:r>
        <w:rPr>
          <w:color w:val="000000"/>
        </w:rPr>
        <w:t>…………………….dni kalendarzowych od podpisania umowy.</w:t>
      </w:r>
    </w:p>
    <w:p w:rsidR="00837C6C" w:rsidRPr="00DB3CAF" w:rsidRDefault="00837C6C" w:rsidP="00837C6C">
      <w:pPr>
        <w:rPr>
          <w:color w:val="000000"/>
        </w:rPr>
      </w:pPr>
      <w:r w:rsidRPr="00DB3CAF">
        <w:rPr>
          <w:color w:val="000000"/>
        </w:rPr>
        <w:t>3. Okres gwarancji:</w:t>
      </w:r>
    </w:p>
    <w:p w:rsidR="00837C6C" w:rsidRDefault="00837C6C" w:rsidP="00837C6C">
      <w:pPr>
        <w:ind w:firstLine="709"/>
        <w:rPr>
          <w:color w:val="000000"/>
        </w:rPr>
      </w:pPr>
      <w:r w:rsidRPr="00DB3CAF">
        <w:rPr>
          <w:color w:val="000000"/>
        </w:rPr>
        <w:t>……………….. miesięcy (słownie ……………………….. miesięcy)</w:t>
      </w:r>
    </w:p>
    <w:p w:rsidR="00837C6C" w:rsidRDefault="00837C6C" w:rsidP="00837C6C">
      <w:pPr>
        <w:ind w:firstLine="709"/>
        <w:rPr>
          <w:color w:val="000000"/>
        </w:rPr>
      </w:pPr>
    </w:p>
    <w:p w:rsidR="00837C6C" w:rsidRDefault="00837C6C" w:rsidP="00837C6C">
      <w:pPr>
        <w:ind w:firstLine="709"/>
        <w:rPr>
          <w:color w:val="000000"/>
        </w:rPr>
      </w:pPr>
    </w:p>
    <w:p w:rsidR="00837C6C" w:rsidRPr="00DB3CAF" w:rsidRDefault="00837C6C" w:rsidP="00837C6C">
      <w:pPr>
        <w:ind w:firstLine="709"/>
        <w:rPr>
          <w:color w:val="000000"/>
        </w:rPr>
      </w:pPr>
    </w:p>
    <w:p w:rsidR="00837C6C" w:rsidRPr="00DB3CAF" w:rsidRDefault="00837C6C" w:rsidP="00837C6C">
      <w:pPr>
        <w:rPr>
          <w:b/>
          <w:color w:val="000000"/>
        </w:rPr>
      </w:pPr>
      <w:r w:rsidRPr="00DB3CAF">
        <w:rPr>
          <w:b/>
          <w:color w:val="000000"/>
        </w:rPr>
        <w:t xml:space="preserve">Część </w:t>
      </w:r>
      <w:r>
        <w:rPr>
          <w:b/>
          <w:color w:val="000000"/>
        </w:rPr>
        <w:t>4</w:t>
      </w:r>
    </w:p>
    <w:p w:rsidR="00837C6C" w:rsidRPr="00DB3CAF" w:rsidRDefault="00837C6C" w:rsidP="00837C6C">
      <w:pPr>
        <w:rPr>
          <w:color w:val="000000"/>
        </w:rPr>
      </w:pPr>
    </w:p>
    <w:p w:rsidR="00837C6C" w:rsidRPr="00DB3CAF" w:rsidRDefault="00837C6C" w:rsidP="00837C6C">
      <w:pPr>
        <w:rPr>
          <w:color w:val="000000"/>
        </w:rPr>
      </w:pPr>
      <w:r w:rsidRPr="00DB3CAF">
        <w:rPr>
          <w:color w:val="000000"/>
        </w:rPr>
        <w:t>1. Cena za dostawę wraz z podatkiem VAT:                          złotych słownie.............................................................</w:t>
      </w:r>
      <w:r>
        <w:rPr>
          <w:color w:val="000000"/>
        </w:rPr>
        <w:t>...................................................................................................................................</w:t>
      </w:r>
      <w:r w:rsidRPr="00DB3CAF">
        <w:rPr>
          <w:color w:val="000000"/>
        </w:rPr>
        <w:t>.złotych).</w:t>
      </w:r>
    </w:p>
    <w:p w:rsidR="00837C6C" w:rsidRPr="00DB3CAF" w:rsidRDefault="00837C6C" w:rsidP="00837C6C">
      <w:pPr>
        <w:rPr>
          <w:color w:val="000000"/>
        </w:rPr>
      </w:pPr>
      <w:r w:rsidRPr="00DB3CAF">
        <w:rPr>
          <w:color w:val="000000"/>
        </w:rPr>
        <w:t xml:space="preserve">2. Termin dostawy: </w:t>
      </w:r>
      <w:r>
        <w:rPr>
          <w:color w:val="000000"/>
        </w:rPr>
        <w:t>…………………….dni kalendarzowych od podpisania umowy.</w:t>
      </w:r>
    </w:p>
    <w:p w:rsidR="00837C6C" w:rsidRPr="00DB3CAF" w:rsidRDefault="00837C6C" w:rsidP="00837C6C">
      <w:pPr>
        <w:rPr>
          <w:color w:val="000000"/>
        </w:rPr>
      </w:pPr>
      <w:r w:rsidRPr="00DB3CAF">
        <w:rPr>
          <w:color w:val="000000"/>
        </w:rPr>
        <w:t>3. Okres gwarancji:</w:t>
      </w:r>
    </w:p>
    <w:p w:rsidR="00837C6C" w:rsidRPr="00DB3CAF" w:rsidRDefault="00837C6C" w:rsidP="00837C6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 xml:space="preserve">Przez wykonanie dostawy rozumie się dostarczenie wszystkich elementów </w:t>
      </w:r>
      <w:proofErr w:type="spellStart"/>
      <w:r w:rsidRPr="00DB3CAF">
        <w:rPr>
          <w:color w:val="000000"/>
        </w:rPr>
        <w:t>zamówienia</w:t>
      </w:r>
      <w:proofErr w:type="spellEnd"/>
      <w:r w:rsidRPr="00DB3CAF">
        <w:rPr>
          <w:color w:val="000000"/>
        </w:rPr>
        <w:t xml:space="preserve">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lastRenderedPageBreak/>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835AC6" w:rsidP="00891089">
      <w:pPr>
        <w:rPr>
          <w:b/>
          <w:u w:val="single"/>
        </w:rPr>
      </w:pPr>
      <w:r>
        <w:rPr>
          <w:b/>
          <w:u w:val="single"/>
        </w:rPr>
        <w:t>Laptop</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835AC6">
        <w:t>Laptop</w:t>
      </w:r>
      <w:r w:rsidR="0064607F">
        <w:t xml:space="preserve"> </w:t>
      </w:r>
      <w:r w:rsidR="00873113">
        <w:t>–</w:t>
      </w:r>
      <w:r w:rsidR="00732B91">
        <w:t xml:space="preserve"> </w:t>
      </w:r>
      <w:r w:rsidR="00873113">
        <w:t>5 sztuk</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4"/>
        <w:gridCol w:w="1920"/>
      </w:tblGrid>
      <w:tr w:rsidR="00E207DE" w:rsidRPr="00B40010" w:rsidTr="00732B91">
        <w:trPr>
          <w:trHeight w:val="315"/>
        </w:trPr>
        <w:tc>
          <w:tcPr>
            <w:tcW w:w="1896" w:type="dxa"/>
          </w:tcPr>
          <w:p w:rsidR="00E207DE" w:rsidRPr="00B40010" w:rsidRDefault="00E207DE" w:rsidP="00520E72">
            <w:pPr>
              <w:rPr>
                <w:b/>
              </w:rPr>
            </w:pPr>
            <w:r w:rsidRPr="00B40010">
              <w:rPr>
                <w:b/>
                <w:sz w:val="22"/>
                <w:szCs w:val="22"/>
              </w:rPr>
              <w:t>Parametr</w:t>
            </w:r>
          </w:p>
        </w:tc>
        <w:tc>
          <w:tcPr>
            <w:tcW w:w="5724" w:type="dxa"/>
          </w:tcPr>
          <w:p w:rsidR="00E207DE" w:rsidRPr="00B40010" w:rsidRDefault="00E207DE" w:rsidP="00520E72">
            <w:pPr>
              <w:rPr>
                <w:b/>
              </w:rPr>
            </w:pPr>
            <w:r w:rsidRPr="00B40010">
              <w:rPr>
                <w:b/>
                <w:sz w:val="22"/>
                <w:szCs w:val="22"/>
              </w:rPr>
              <w:t>Żądany przez zamawiającego</w:t>
            </w:r>
          </w:p>
        </w:tc>
        <w:tc>
          <w:tcPr>
            <w:tcW w:w="1920" w:type="dxa"/>
          </w:tcPr>
          <w:p w:rsidR="00E207DE" w:rsidRPr="00B40010" w:rsidRDefault="00E207DE" w:rsidP="00520E72">
            <w:pPr>
              <w:rPr>
                <w:b/>
              </w:rPr>
            </w:pPr>
            <w:r w:rsidRPr="00B40010">
              <w:rPr>
                <w:b/>
                <w:sz w:val="22"/>
                <w:szCs w:val="22"/>
              </w:rPr>
              <w:t xml:space="preserve"> Oferowany</w:t>
            </w:r>
          </w:p>
        </w:tc>
      </w:tr>
      <w:tr w:rsidR="00835AC6" w:rsidRPr="00B40010" w:rsidTr="00732B91">
        <w:trPr>
          <w:trHeight w:val="315"/>
        </w:trPr>
        <w:tc>
          <w:tcPr>
            <w:tcW w:w="1896" w:type="dxa"/>
          </w:tcPr>
          <w:p w:rsidR="00835AC6" w:rsidRPr="00B846AF" w:rsidRDefault="00835AC6" w:rsidP="00B46B79">
            <w:pPr>
              <w:rPr>
                <w:i/>
                <w:iCs/>
              </w:rPr>
            </w:pPr>
          </w:p>
        </w:tc>
        <w:tc>
          <w:tcPr>
            <w:tcW w:w="5724" w:type="dxa"/>
          </w:tcPr>
          <w:p w:rsidR="00835AC6" w:rsidRPr="00B846AF" w:rsidRDefault="00835AC6" w:rsidP="00B46B79"/>
        </w:tc>
        <w:tc>
          <w:tcPr>
            <w:tcW w:w="1920" w:type="dxa"/>
          </w:tcPr>
          <w:p w:rsidR="00835AC6" w:rsidRPr="00B40010" w:rsidRDefault="00835AC6" w:rsidP="00452DEB">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Procesor</w:t>
            </w:r>
          </w:p>
        </w:tc>
        <w:tc>
          <w:tcPr>
            <w:tcW w:w="5724" w:type="dxa"/>
          </w:tcPr>
          <w:p w:rsidR="00873113" w:rsidRPr="006F73A4" w:rsidRDefault="00873113" w:rsidP="00873113">
            <w:pPr>
              <w:spacing w:after="160" w:line="259" w:lineRule="auto"/>
            </w:pPr>
            <w:r w:rsidRPr="006F73A4">
              <w:t xml:space="preserve">4 rdzeniowy, 8 wątkowy, osiągający przynajmniej 7000 pkt. w teście CPU </w:t>
            </w:r>
            <w:proofErr w:type="spellStart"/>
            <w:r w:rsidRPr="006F73A4">
              <w:t>Benchmark</w:t>
            </w:r>
            <w:proofErr w:type="spellEnd"/>
            <w:r w:rsidRPr="006F73A4">
              <w:t xml:space="preserve"> Net (http://www.cpubenchmark.net/) wg Firmy </w:t>
            </w:r>
            <w:proofErr w:type="spellStart"/>
            <w:r w:rsidRPr="006F73A4">
              <w:t>PassMark</w:t>
            </w:r>
            <w:proofErr w:type="spellEnd"/>
            <w:r w:rsidRPr="006F73A4">
              <w:t xml:space="preserve"> Software (http://www.passmark.com), taktowany zegarem co najmniej 1,8 </w:t>
            </w:r>
            <w:proofErr w:type="spellStart"/>
            <w:r w:rsidRPr="006F73A4">
              <w:t>GHz</w:t>
            </w:r>
            <w:proofErr w:type="spellEnd"/>
            <w:r w:rsidRPr="006F73A4">
              <w:t xml:space="preserve"> ( 4,9 </w:t>
            </w:r>
            <w:proofErr w:type="spellStart"/>
            <w:r w:rsidRPr="006F73A4">
              <w:t>GHz</w:t>
            </w:r>
            <w:proofErr w:type="spellEnd"/>
            <w:r w:rsidRPr="006F73A4">
              <w:t xml:space="preserve"> w trybie Turbo </w:t>
            </w:r>
            <w:proofErr w:type="spellStart"/>
            <w:r w:rsidRPr="006F73A4">
              <w:t>Speed</w:t>
            </w:r>
            <w:proofErr w:type="spellEnd"/>
            <w:r w:rsidRPr="006F73A4">
              <w:t xml:space="preserve">), posiadający zintegrowaną kartę graficzną. </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Pamięć RAM</w:t>
            </w:r>
          </w:p>
        </w:tc>
        <w:tc>
          <w:tcPr>
            <w:tcW w:w="5724" w:type="dxa"/>
          </w:tcPr>
          <w:p w:rsidR="00873113" w:rsidRPr="006F73A4" w:rsidRDefault="00873113" w:rsidP="00873113">
            <w:pPr>
              <w:spacing w:after="160" w:line="259" w:lineRule="auto"/>
            </w:pPr>
            <w:r w:rsidRPr="006F73A4">
              <w:t>Nie mniej niż 16 GB DDR4, taktowanie nie mniej niż 2666MHz, rozszerzalna do 32 GB.</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Ekran</w:t>
            </w:r>
          </w:p>
        </w:tc>
        <w:tc>
          <w:tcPr>
            <w:tcW w:w="5724" w:type="dxa"/>
          </w:tcPr>
          <w:p w:rsidR="00873113" w:rsidRPr="006F73A4" w:rsidRDefault="00873113" w:rsidP="00873113">
            <w:pPr>
              <w:spacing w:after="160" w:line="259" w:lineRule="auto"/>
            </w:pPr>
            <w:r w:rsidRPr="006F73A4">
              <w:t>Przekątna 15,6 cala,  ekran dotykowy,</w:t>
            </w:r>
          </w:p>
          <w:p w:rsidR="00873113" w:rsidRPr="006F73A4" w:rsidRDefault="00873113" w:rsidP="00873113">
            <w:pPr>
              <w:spacing w:after="160" w:line="259" w:lineRule="auto"/>
            </w:pPr>
            <w:r w:rsidRPr="006F73A4">
              <w:t xml:space="preserve">Matryca IPS, podświetlenie LED, </w:t>
            </w:r>
          </w:p>
          <w:p w:rsidR="00873113" w:rsidRPr="006F73A4" w:rsidRDefault="00873113" w:rsidP="00873113">
            <w:pPr>
              <w:spacing w:after="160" w:line="259" w:lineRule="auto"/>
            </w:pPr>
            <w:r w:rsidRPr="006F73A4">
              <w:t>Rozdzielczość FHD 1920x1080 pikseli.</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Karta graficzna</w:t>
            </w:r>
          </w:p>
        </w:tc>
        <w:tc>
          <w:tcPr>
            <w:tcW w:w="5724" w:type="dxa"/>
          </w:tcPr>
          <w:p w:rsidR="00873113" w:rsidRPr="006F73A4" w:rsidRDefault="00873113" w:rsidP="00873113">
            <w:pPr>
              <w:spacing w:after="160" w:line="259" w:lineRule="auto"/>
            </w:pPr>
            <w:r w:rsidRPr="006F73A4">
              <w:t xml:space="preserve">Dedykowana, wyposażona w 4096 MB pamięci GDDR5, osiągająca minimum 2700 pkt. w teście </w:t>
            </w:r>
            <w:proofErr w:type="spellStart"/>
            <w:r w:rsidRPr="006F73A4">
              <w:t>Passmark</w:t>
            </w:r>
            <w:proofErr w:type="spellEnd"/>
            <w:r w:rsidRPr="006F73A4">
              <w:t xml:space="preserve"> G3D Mark https://www.videocardbenchmark.net/</w:t>
            </w:r>
          </w:p>
        </w:tc>
        <w:tc>
          <w:tcPr>
            <w:tcW w:w="1920" w:type="dxa"/>
          </w:tcPr>
          <w:p w:rsidR="00873113" w:rsidRPr="00B40010" w:rsidRDefault="00873113" w:rsidP="00873113">
            <w:pPr>
              <w:rPr>
                <w:b/>
              </w:rPr>
            </w:pPr>
          </w:p>
        </w:tc>
      </w:tr>
      <w:tr w:rsidR="00873113" w:rsidRPr="00B40010" w:rsidTr="00732B91">
        <w:trPr>
          <w:trHeight w:val="846"/>
        </w:trPr>
        <w:tc>
          <w:tcPr>
            <w:tcW w:w="1896" w:type="dxa"/>
          </w:tcPr>
          <w:p w:rsidR="00873113" w:rsidRPr="006F73A4" w:rsidRDefault="00873113" w:rsidP="00873113">
            <w:pPr>
              <w:spacing w:after="160" w:line="259" w:lineRule="auto"/>
              <w:rPr>
                <w:b/>
              </w:rPr>
            </w:pPr>
            <w:r w:rsidRPr="006F73A4">
              <w:rPr>
                <w:b/>
              </w:rPr>
              <w:t xml:space="preserve">Dysk twardy </w:t>
            </w:r>
            <w:proofErr w:type="spellStart"/>
            <w:r w:rsidRPr="006F73A4">
              <w:rPr>
                <w:b/>
              </w:rPr>
              <w:t>NVMe</w:t>
            </w:r>
            <w:proofErr w:type="spellEnd"/>
          </w:p>
        </w:tc>
        <w:tc>
          <w:tcPr>
            <w:tcW w:w="5724" w:type="dxa"/>
          </w:tcPr>
          <w:p w:rsidR="00873113" w:rsidRPr="006F73A4" w:rsidRDefault="00873113" w:rsidP="00873113">
            <w:pPr>
              <w:spacing w:after="160" w:line="259" w:lineRule="auto"/>
            </w:pPr>
            <w:r w:rsidRPr="006F73A4">
              <w:t xml:space="preserve">Dysk SSD M.2 </w:t>
            </w:r>
            <w:proofErr w:type="spellStart"/>
            <w:r w:rsidRPr="006F73A4">
              <w:t>NVMe</w:t>
            </w:r>
            <w:proofErr w:type="spellEnd"/>
            <w:r w:rsidRPr="006F73A4">
              <w:t xml:space="preserve"> </w:t>
            </w:r>
            <w:proofErr w:type="spellStart"/>
            <w:r w:rsidRPr="006F73A4">
              <w:t>PCIe</w:t>
            </w:r>
            <w:proofErr w:type="spellEnd"/>
            <w:r w:rsidRPr="006F73A4">
              <w:t>,  pojemność minimum 512 GB – 1 szt.</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Interfejsy</w:t>
            </w:r>
          </w:p>
        </w:tc>
        <w:tc>
          <w:tcPr>
            <w:tcW w:w="5724" w:type="dxa"/>
          </w:tcPr>
          <w:p w:rsidR="00873113" w:rsidRPr="006F73A4" w:rsidRDefault="00873113" w:rsidP="00873113">
            <w:pPr>
              <w:spacing w:after="160" w:line="259" w:lineRule="auto"/>
            </w:pPr>
            <w:r w:rsidRPr="006F73A4">
              <w:t>Złącze USB typ C ( z Display Port i zasilaniem) – 1 szt.,</w:t>
            </w:r>
          </w:p>
          <w:p w:rsidR="00873113" w:rsidRPr="006F73A4" w:rsidRDefault="00873113" w:rsidP="00873113">
            <w:pPr>
              <w:spacing w:after="160" w:line="259" w:lineRule="auto"/>
            </w:pPr>
            <w:r w:rsidRPr="006F73A4">
              <w:t>Złącze USB  3.1 – 2 szt.,</w:t>
            </w:r>
          </w:p>
          <w:p w:rsidR="00873113" w:rsidRPr="006F73A4" w:rsidRDefault="00873113" w:rsidP="00873113">
            <w:pPr>
              <w:spacing w:after="160" w:line="259" w:lineRule="auto"/>
            </w:pPr>
            <w:r w:rsidRPr="006F73A4">
              <w:t>Złącze HDMI 2.0 – 1 szt.,</w:t>
            </w:r>
          </w:p>
          <w:p w:rsidR="00873113" w:rsidRPr="006F73A4" w:rsidRDefault="00873113" w:rsidP="00873113">
            <w:pPr>
              <w:spacing w:after="160" w:line="259" w:lineRule="auto"/>
            </w:pPr>
            <w:r w:rsidRPr="006F73A4">
              <w:t xml:space="preserve">Komunikacja </w:t>
            </w:r>
            <w:proofErr w:type="spellStart"/>
            <w:r w:rsidRPr="006F73A4">
              <w:t>Bluetooth</w:t>
            </w:r>
            <w:proofErr w:type="spellEnd"/>
            <w:r w:rsidRPr="006F73A4">
              <w:t xml:space="preserve"> oraz </w:t>
            </w:r>
            <w:proofErr w:type="spellStart"/>
            <w:r w:rsidRPr="006F73A4">
              <w:t>Wi-Fi</w:t>
            </w:r>
            <w:proofErr w:type="spellEnd"/>
            <w:r w:rsidRPr="006F73A4">
              <w:t xml:space="preserve"> 6 ( 802.11 a/b/g/n/</w:t>
            </w:r>
            <w:proofErr w:type="spellStart"/>
            <w:r w:rsidRPr="006F73A4">
              <w:t>ac</w:t>
            </w:r>
            <w:proofErr w:type="spellEnd"/>
            <w:r w:rsidRPr="006F73A4">
              <w:t>/</w:t>
            </w:r>
            <w:proofErr w:type="spellStart"/>
            <w:r w:rsidRPr="006F73A4">
              <w:t>ax</w:t>
            </w:r>
            <w:proofErr w:type="spellEnd"/>
            <w:r w:rsidRPr="006F73A4">
              <w:t>)</w:t>
            </w:r>
          </w:p>
          <w:p w:rsidR="00873113" w:rsidRPr="006F73A4" w:rsidRDefault="00873113" w:rsidP="00873113">
            <w:pPr>
              <w:spacing w:after="160" w:line="259" w:lineRule="auto"/>
            </w:pPr>
            <w:r w:rsidRPr="006F73A4">
              <w:t>Wyjście słuchawkowe/wejście mikrofonowe 3,5mm,</w:t>
            </w:r>
          </w:p>
          <w:p w:rsidR="00873113" w:rsidRPr="006F73A4" w:rsidRDefault="00873113" w:rsidP="00873113">
            <w:pPr>
              <w:spacing w:after="160" w:line="259" w:lineRule="auto"/>
            </w:pPr>
            <w:r w:rsidRPr="006F73A4">
              <w:t xml:space="preserve">Czytnik kart </w:t>
            </w:r>
            <w:proofErr w:type="spellStart"/>
            <w:r w:rsidRPr="006F73A4">
              <w:t>microSD</w:t>
            </w:r>
            <w:proofErr w:type="spellEnd"/>
            <w:r w:rsidRPr="006F73A4">
              <w:t>.</w:t>
            </w:r>
          </w:p>
        </w:tc>
        <w:tc>
          <w:tcPr>
            <w:tcW w:w="1920" w:type="dxa"/>
          </w:tcPr>
          <w:p w:rsidR="00873113" w:rsidRPr="00B40010" w:rsidRDefault="00873113" w:rsidP="00873113">
            <w:pPr>
              <w:rPr>
                <w:b/>
              </w:rPr>
            </w:pPr>
          </w:p>
        </w:tc>
      </w:tr>
      <w:tr w:rsidR="00873113" w:rsidRPr="0026499F" w:rsidTr="00732B91">
        <w:trPr>
          <w:trHeight w:val="315"/>
        </w:trPr>
        <w:tc>
          <w:tcPr>
            <w:tcW w:w="1896" w:type="dxa"/>
          </w:tcPr>
          <w:p w:rsidR="00873113" w:rsidRPr="006F73A4" w:rsidRDefault="00873113" w:rsidP="00873113">
            <w:pPr>
              <w:spacing w:after="160" w:line="259" w:lineRule="auto"/>
              <w:rPr>
                <w:b/>
              </w:rPr>
            </w:pPr>
            <w:r w:rsidRPr="006F73A4">
              <w:rPr>
                <w:b/>
              </w:rPr>
              <w:t xml:space="preserve">System </w:t>
            </w:r>
            <w:r w:rsidRPr="006F73A4">
              <w:rPr>
                <w:b/>
              </w:rPr>
              <w:lastRenderedPageBreak/>
              <w:t>Operacyjny</w:t>
            </w:r>
          </w:p>
        </w:tc>
        <w:tc>
          <w:tcPr>
            <w:tcW w:w="5724" w:type="dxa"/>
          </w:tcPr>
          <w:p w:rsidR="00873113" w:rsidRPr="006F73A4" w:rsidRDefault="00873113" w:rsidP="00873113">
            <w:pPr>
              <w:spacing w:after="160" w:line="259" w:lineRule="auto"/>
              <w:rPr>
                <w:lang w:val="en-US"/>
              </w:rPr>
            </w:pPr>
            <w:r w:rsidRPr="006F73A4">
              <w:rPr>
                <w:lang w:val="en-US"/>
              </w:rPr>
              <w:lastRenderedPageBreak/>
              <w:t>Microsoft Windows 10 Pro PL 64 bit.</w:t>
            </w:r>
          </w:p>
        </w:tc>
        <w:tc>
          <w:tcPr>
            <w:tcW w:w="1920" w:type="dxa"/>
          </w:tcPr>
          <w:p w:rsidR="00873113" w:rsidRPr="0026499F" w:rsidRDefault="00873113" w:rsidP="00873113">
            <w:pPr>
              <w:rPr>
                <w:b/>
                <w:lang w:val="en-G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lastRenderedPageBreak/>
              <w:t>Sterowanie</w:t>
            </w:r>
          </w:p>
        </w:tc>
        <w:tc>
          <w:tcPr>
            <w:tcW w:w="5724" w:type="dxa"/>
          </w:tcPr>
          <w:p w:rsidR="00873113" w:rsidRPr="006F73A4" w:rsidRDefault="00873113" w:rsidP="00873113">
            <w:pPr>
              <w:spacing w:after="160" w:line="259" w:lineRule="auto"/>
            </w:pPr>
            <w:r w:rsidRPr="006F73A4">
              <w:t>Klawiatura podświetlana,</w:t>
            </w:r>
          </w:p>
          <w:p w:rsidR="00873113" w:rsidRPr="006F73A4" w:rsidRDefault="00873113" w:rsidP="00873113">
            <w:pPr>
              <w:spacing w:after="160" w:line="259" w:lineRule="auto"/>
            </w:pPr>
            <w:proofErr w:type="spellStart"/>
            <w:r w:rsidRPr="006F73A4">
              <w:t>Wielodotykowy</w:t>
            </w:r>
            <w:proofErr w:type="spellEnd"/>
            <w:r w:rsidRPr="006F73A4">
              <w:t xml:space="preserve"> </w:t>
            </w:r>
            <w:proofErr w:type="spellStart"/>
            <w:r w:rsidRPr="006F73A4">
              <w:t>touchpad</w:t>
            </w:r>
            <w:proofErr w:type="spellEnd"/>
            <w:r w:rsidRPr="006F73A4">
              <w:t>.</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rPr>
                <w:b/>
              </w:rPr>
            </w:pPr>
            <w:r w:rsidRPr="006F73A4">
              <w:rPr>
                <w:b/>
              </w:rPr>
              <w:t>Inne</w:t>
            </w:r>
          </w:p>
        </w:tc>
        <w:tc>
          <w:tcPr>
            <w:tcW w:w="5724" w:type="dxa"/>
          </w:tcPr>
          <w:p w:rsidR="00873113" w:rsidRPr="006F73A4" w:rsidRDefault="00873113" w:rsidP="00873113">
            <w:r w:rsidRPr="006F73A4">
              <w:t>Czytnik linii papilarnych</w:t>
            </w:r>
          </w:p>
          <w:p w:rsidR="00873113" w:rsidRPr="006F73A4" w:rsidRDefault="00873113" w:rsidP="00873113">
            <w:r w:rsidRPr="006F73A4">
              <w:t xml:space="preserve">Masa: nie więcej niż 2 kg, </w:t>
            </w:r>
          </w:p>
          <w:p w:rsidR="00873113" w:rsidRPr="006F73A4" w:rsidRDefault="00873113" w:rsidP="00873113">
            <w:r w:rsidRPr="006F73A4">
              <w:t xml:space="preserve">Wbudowana kamera 1 </w:t>
            </w:r>
            <w:proofErr w:type="spellStart"/>
            <w:r w:rsidRPr="006F73A4">
              <w:t>Mpix</w:t>
            </w:r>
            <w:proofErr w:type="spellEnd"/>
            <w:r w:rsidRPr="006F73A4">
              <w:t>.</w:t>
            </w:r>
          </w:p>
          <w:p w:rsidR="00873113" w:rsidRPr="006F73A4" w:rsidRDefault="00873113" w:rsidP="00873113">
            <w:r w:rsidRPr="006F73A4">
              <w:t>Wbudowane głośniki i mikrofon.</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Dodatkowe</w:t>
            </w:r>
          </w:p>
        </w:tc>
        <w:tc>
          <w:tcPr>
            <w:tcW w:w="5724" w:type="dxa"/>
          </w:tcPr>
          <w:p w:rsidR="00873113" w:rsidRPr="006F73A4" w:rsidRDefault="00873113" w:rsidP="00873113">
            <w:pPr>
              <w:spacing w:after="160" w:line="259" w:lineRule="auto"/>
            </w:pPr>
            <w:r w:rsidRPr="006F73A4">
              <w:t xml:space="preserve">1.Przejściówka: HDMI&lt;-&gt; VGA ( </w:t>
            </w:r>
            <w:proofErr w:type="spellStart"/>
            <w:r w:rsidRPr="006F73A4">
              <w:t>D-Sub</w:t>
            </w:r>
            <w:proofErr w:type="spellEnd"/>
            <w:r w:rsidRPr="006F73A4">
              <w:t>).</w:t>
            </w:r>
          </w:p>
          <w:p w:rsidR="00873113" w:rsidRPr="006F73A4" w:rsidRDefault="00873113" w:rsidP="00873113">
            <w:pPr>
              <w:spacing w:after="160" w:line="259" w:lineRule="auto"/>
            </w:pPr>
            <w:r w:rsidRPr="006F73A4">
              <w:t xml:space="preserve">2. Stacja dokująca z zasilaczem: stacja dokująca z zasilaczem min. 110W, podłączana do komputera przez kabel </w:t>
            </w:r>
            <w:proofErr w:type="spellStart"/>
            <w:r w:rsidRPr="006F73A4">
              <w:t>USB-C</w:t>
            </w:r>
            <w:proofErr w:type="spellEnd"/>
            <w:r w:rsidRPr="006F73A4">
              <w:t xml:space="preserve">, zapewniająca minimum: 1 port </w:t>
            </w:r>
            <w:proofErr w:type="spellStart"/>
            <w:r w:rsidRPr="006F73A4">
              <w:t>USB-C</w:t>
            </w:r>
            <w:proofErr w:type="spellEnd"/>
            <w:r w:rsidRPr="006F73A4">
              <w:t xml:space="preserve"> Power </w:t>
            </w:r>
            <w:proofErr w:type="spellStart"/>
            <w:r w:rsidRPr="006F73A4">
              <w:t>Delivery</w:t>
            </w:r>
            <w:proofErr w:type="spellEnd"/>
            <w:r w:rsidRPr="006F73A4">
              <w:t xml:space="preserve">, 2 porty USB 3.0, 1 port RJ-45 </w:t>
            </w:r>
            <w:proofErr w:type="spellStart"/>
            <w:r w:rsidRPr="006F73A4">
              <w:t>GigabitEthernet</w:t>
            </w:r>
            <w:proofErr w:type="spellEnd"/>
            <w:r w:rsidRPr="006F73A4">
              <w:t xml:space="preserve">, 1 port HDMI, 1 port </w:t>
            </w:r>
            <w:proofErr w:type="spellStart"/>
            <w:r w:rsidRPr="006F73A4">
              <w:t>DisplayPort</w:t>
            </w:r>
            <w:proofErr w:type="spellEnd"/>
            <w:r w:rsidRPr="006F73A4">
              <w:t>, 1 port VGA, czytnik kart pamięci</w:t>
            </w:r>
          </w:p>
        </w:tc>
        <w:tc>
          <w:tcPr>
            <w:tcW w:w="1920" w:type="dxa"/>
          </w:tcPr>
          <w:p w:rsidR="00873113" w:rsidRPr="00B40010" w:rsidRDefault="00873113" w:rsidP="00873113">
            <w:pPr>
              <w:rPr>
                <w:b/>
              </w:rPr>
            </w:pPr>
          </w:p>
        </w:tc>
      </w:tr>
      <w:tr w:rsidR="00873113" w:rsidRPr="00B40010" w:rsidTr="00732B91">
        <w:trPr>
          <w:trHeight w:val="315"/>
        </w:trPr>
        <w:tc>
          <w:tcPr>
            <w:tcW w:w="1896" w:type="dxa"/>
          </w:tcPr>
          <w:p w:rsidR="00873113" w:rsidRPr="006F73A4" w:rsidRDefault="00873113" w:rsidP="00873113">
            <w:pPr>
              <w:spacing w:after="160" w:line="259" w:lineRule="auto"/>
              <w:rPr>
                <w:b/>
              </w:rPr>
            </w:pPr>
            <w:r w:rsidRPr="006F73A4">
              <w:rPr>
                <w:b/>
              </w:rPr>
              <w:t>Gwarancja</w:t>
            </w:r>
          </w:p>
        </w:tc>
        <w:tc>
          <w:tcPr>
            <w:tcW w:w="5724" w:type="dxa"/>
          </w:tcPr>
          <w:p w:rsidR="00873113" w:rsidRPr="006F73A4" w:rsidRDefault="00873113" w:rsidP="00873113">
            <w:pPr>
              <w:spacing w:after="160" w:line="259" w:lineRule="auto"/>
            </w:pPr>
            <w:r w:rsidRPr="006F73A4">
              <w:t>24 miesiące</w:t>
            </w:r>
          </w:p>
        </w:tc>
        <w:tc>
          <w:tcPr>
            <w:tcW w:w="1920" w:type="dxa"/>
          </w:tcPr>
          <w:p w:rsidR="00873113" w:rsidRPr="00B40010" w:rsidRDefault="00873113" w:rsidP="00873113">
            <w:pPr>
              <w:rPr>
                <w:b/>
              </w:rPr>
            </w:pPr>
          </w:p>
        </w:tc>
      </w:tr>
    </w:tbl>
    <w:p w:rsidR="009007DD" w:rsidRPr="00835AC6" w:rsidRDefault="009007DD" w:rsidP="00117D05">
      <w:pPr>
        <w:spacing w:line="360" w:lineRule="auto"/>
        <w:rPr>
          <w:b/>
          <w:color w:val="000000"/>
        </w:rPr>
      </w:pPr>
    </w:p>
    <w:p w:rsidR="00732B91" w:rsidRPr="00835AC6" w:rsidRDefault="00732B91" w:rsidP="00117D05">
      <w:pPr>
        <w:spacing w:line="360" w:lineRule="auto"/>
        <w:rPr>
          <w:b/>
          <w:color w:val="000000"/>
        </w:rPr>
      </w:pPr>
    </w:p>
    <w:p w:rsidR="00732B91" w:rsidRPr="00732B91" w:rsidRDefault="00732B91" w:rsidP="00117D05">
      <w:pPr>
        <w:spacing w:line="360" w:lineRule="auto"/>
        <w:rPr>
          <w:b/>
          <w:color w:val="000000"/>
          <w:lang w:val="en-US"/>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732B91" w:rsidRDefault="00732B91" w:rsidP="00732B91">
      <w:pPr>
        <w:spacing w:line="360" w:lineRule="auto"/>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873113" w:rsidP="006E531C">
      <w:pPr>
        <w:rPr>
          <w:b/>
          <w:u w:val="single"/>
        </w:rPr>
      </w:pPr>
      <w:r>
        <w:rPr>
          <w:b/>
          <w:u w:val="single"/>
        </w:rPr>
        <w:t>Komputer stacjonarny</w:t>
      </w:r>
    </w:p>
    <w:p w:rsidR="001677E8" w:rsidRDefault="001677E8" w:rsidP="006E531C">
      <w:pPr>
        <w:rPr>
          <w:b/>
          <w:color w:val="000000"/>
        </w:rPr>
      </w:pPr>
    </w:p>
    <w:p w:rsidR="0062005B" w:rsidRPr="00D31B33" w:rsidRDefault="00117D05" w:rsidP="0062005B">
      <w:pPr>
        <w:pStyle w:val="Tekstpodstawowy"/>
        <w:rPr>
          <w:b/>
        </w:rPr>
      </w:pPr>
      <w:r>
        <w:rPr>
          <w:b/>
        </w:rPr>
        <w:t>2.1.</w:t>
      </w:r>
      <w:r w:rsidR="00873113">
        <w:rPr>
          <w:b/>
        </w:rPr>
        <w:t xml:space="preserve"> Komputer stacjonarny </w:t>
      </w:r>
      <w:r w:rsidR="00AB2332">
        <w:rPr>
          <w:b/>
        </w:rPr>
        <w:t xml:space="preserve"> z akcesoriami</w:t>
      </w:r>
      <w:r w:rsidR="00873113">
        <w:rPr>
          <w:b/>
        </w:rPr>
        <w:t>– 2 sztuki</w:t>
      </w:r>
      <w:r w:rsidR="002D1AF5">
        <w:rPr>
          <w:b/>
        </w:rPr>
        <w:t xml:space="preserve">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696"/>
        <w:gridCol w:w="1948"/>
      </w:tblGrid>
      <w:tr w:rsidR="00C0624E" w:rsidRPr="00B40010" w:rsidTr="00873113">
        <w:trPr>
          <w:trHeight w:val="315"/>
        </w:trPr>
        <w:tc>
          <w:tcPr>
            <w:tcW w:w="1896" w:type="dxa"/>
          </w:tcPr>
          <w:p w:rsidR="00C0624E" w:rsidRPr="00B40010" w:rsidRDefault="00C0624E" w:rsidP="000C40A5">
            <w:pPr>
              <w:rPr>
                <w:b/>
              </w:rPr>
            </w:pPr>
            <w:r w:rsidRPr="00B40010">
              <w:rPr>
                <w:b/>
                <w:sz w:val="22"/>
                <w:szCs w:val="22"/>
              </w:rPr>
              <w:t>Parametr</w:t>
            </w:r>
          </w:p>
        </w:tc>
        <w:tc>
          <w:tcPr>
            <w:tcW w:w="5696" w:type="dxa"/>
          </w:tcPr>
          <w:p w:rsidR="00C0624E" w:rsidRPr="00B40010" w:rsidRDefault="00C0624E" w:rsidP="000C40A5">
            <w:pPr>
              <w:rPr>
                <w:b/>
              </w:rPr>
            </w:pPr>
            <w:r w:rsidRPr="00B40010">
              <w:rPr>
                <w:b/>
                <w:sz w:val="22"/>
                <w:szCs w:val="22"/>
              </w:rPr>
              <w:t>Żądany przez zamawiającego</w:t>
            </w:r>
          </w:p>
        </w:tc>
        <w:tc>
          <w:tcPr>
            <w:tcW w:w="1948" w:type="dxa"/>
          </w:tcPr>
          <w:p w:rsidR="00C0624E" w:rsidRPr="00B40010" w:rsidRDefault="00C0624E" w:rsidP="000C40A5">
            <w:pPr>
              <w:rPr>
                <w:b/>
              </w:rPr>
            </w:pPr>
            <w:r w:rsidRPr="00B40010">
              <w:rPr>
                <w:b/>
                <w:sz w:val="22"/>
                <w:szCs w:val="22"/>
              </w:rPr>
              <w:t xml:space="preserve"> Oferowany</w:t>
            </w:r>
          </w:p>
        </w:tc>
      </w:tr>
      <w:tr w:rsidR="00873113" w:rsidRPr="002D1AF5" w:rsidTr="00873113">
        <w:trPr>
          <w:trHeight w:val="315"/>
        </w:trPr>
        <w:tc>
          <w:tcPr>
            <w:tcW w:w="1896" w:type="dxa"/>
          </w:tcPr>
          <w:p w:rsidR="00873113" w:rsidRPr="00A278F3" w:rsidRDefault="00873113" w:rsidP="00873113">
            <w:r w:rsidRPr="00A278F3">
              <w:t>Procesor wraz z chłodzeniem</w:t>
            </w:r>
          </w:p>
        </w:tc>
        <w:tc>
          <w:tcPr>
            <w:tcW w:w="5696" w:type="dxa"/>
          </w:tcPr>
          <w:p w:rsidR="00873113" w:rsidRPr="00A278F3" w:rsidRDefault="00873113" w:rsidP="00873113">
            <w:r w:rsidRPr="00A278F3">
              <w:t xml:space="preserve">6 rdzeniowy, 12 wątkowy, osiągający przynajmniej 12700 pkt. w teście CPU </w:t>
            </w:r>
            <w:proofErr w:type="spellStart"/>
            <w:r w:rsidRPr="00A278F3">
              <w:t>Benchmark</w:t>
            </w:r>
            <w:proofErr w:type="spellEnd"/>
            <w:r w:rsidRPr="00A278F3">
              <w:t xml:space="preserve"> Net (http://www.cpubenchmark.net/) wg Firmy </w:t>
            </w:r>
            <w:proofErr w:type="spellStart"/>
            <w:r w:rsidRPr="00A278F3">
              <w:t>PassMark</w:t>
            </w:r>
            <w:proofErr w:type="spellEnd"/>
            <w:r w:rsidRPr="00A278F3">
              <w:t xml:space="preserve"> Software (http://www.passmark.com), taktowany zegarem co najmniej 2,9 </w:t>
            </w:r>
            <w:proofErr w:type="spellStart"/>
            <w:r w:rsidRPr="00A278F3">
              <w:t>GHz</w:t>
            </w:r>
            <w:proofErr w:type="spellEnd"/>
            <w:r w:rsidRPr="00A278F3">
              <w:t xml:space="preserve"> ( 4,3 </w:t>
            </w:r>
            <w:proofErr w:type="spellStart"/>
            <w:r w:rsidRPr="00A278F3">
              <w:t>GHz</w:t>
            </w:r>
            <w:proofErr w:type="spellEnd"/>
            <w:r w:rsidRPr="00A278F3">
              <w:t xml:space="preserve"> w trybie Turbo </w:t>
            </w:r>
            <w:proofErr w:type="spellStart"/>
            <w:r w:rsidRPr="00A278F3">
              <w:t>Speed</w:t>
            </w:r>
            <w:proofErr w:type="spellEnd"/>
            <w:r w:rsidRPr="00A278F3">
              <w:t>)  posiadający zintegrowaną kartę graficzną. Chłodzenie dedykowane do oferowanego procesora.</w:t>
            </w:r>
          </w:p>
        </w:tc>
        <w:tc>
          <w:tcPr>
            <w:tcW w:w="1948" w:type="dxa"/>
          </w:tcPr>
          <w:p w:rsidR="00873113" w:rsidRPr="002D1AF5"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lastRenderedPageBreak/>
              <w:t>Płyta Główna</w:t>
            </w:r>
          </w:p>
        </w:tc>
        <w:tc>
          <w:tcPr>
            <w:tcW w:w="5696" w:type="dxa"/>
          </w:tcPr>
          <w:p w:rsidR="00873113" w:rsidRPr="00A278F3" w:rsidRDefault="00873113" w:rsidP="00873113">
            <w:r w:rsidRPr="00A278F3">
              <w:t xml:space="preserve">Obsługująca wyżej wymieniony procesor, wyposażona w kartę muzyczną, kartę sieciową LAN 1000Mbit, 4 sloty na pamięć RAM DDR4 – obsługa do 128GB pamięci, 4 wejścia USB 3.0 lub nowsze, minimum 1 </w:t>
            </w:r>
            <w:proofErr w:type="spellStart"/>
            <w:r w:rsidRPr="00A278F3">
              <w:t>złacze</w:t>
            </w:r>
            <w:proofErr w:type="spellEnd"/>
            <w:r w:rsidRPr="00A278F3">
              <w:t xml:space="preserve"> USB </w:t>
            </w:r>
            <w:proofErr w:type="spellStart"/>
            <w:r w:rsidRPr="00A278F3">
              <w:t>Type-C</w:t>
            </w:r>
            <w:proofErr w:type="spellEnd"/>
            <w:r w:rsidRPr="00A278F3">
              <w:t xml:space="preserve">, ze wsparciem </w:t>
            </w:r>
            <w:proofErr w:type="spellStart"/>
            <w:r w:rsidRPr="00A278F3">
              <w:t>NVMe</w:t>
            </w:r>
            <w:proofErr w:type="spellEnd"/>
            <w:r w:rsidRPr="00A278F3">
              <w:t xml:space="preserve"> dla dysków SSD (złącze M.2), min. 1 x </w:t>
            </w:r>
            <w:proofErr w:type="spellStart"/>
            <w:r w:rsidRPr="00A278F3">
              <w:t>PCI-Express</w:t>
            </w:r>
            <w:proofErr w:type="spellEnd"/>
            <w:r w:rsidRPr="00A278F3">
              <w:t xml:space="preserve"> x16, min. 1 x </w:t>
            </w:r>
            <w:proofErr w:type="spellStart"/>
            <w:r w:rsidRPr="00A278F3">
              <w:t>PCI-Express</w:t>
            </w:r>
            <w:proofErr w:type="spellEnd"/>
            <w:r w:rsidRPr="00A278F3">
              <w:t xml:space="preserve"> x4.</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Karta graficzna</w:t>
            </w:r>
          </w:p>
        </w:tc>
        <w:tc>
          <w:tcPr>
            <w:tcW w:w="5696" w:type="dxa"/>
          </w:tcPr>
          <w:p w:rsidR="00873113" w:rsidRPr="00A278F3" w:rsidRDefault="00873113" w:rsidP="00873113">
            <w:r w:rsidRPr="00A278F3">
              <w:t xml:space="preserve">Min. 8GB pamięci, osiągająca co najmniej 16000 pkt. w teście Video </w:t>
            </w:r>
            <w:proofErr w:type="spellStart"/>
            <w:r w:rsidRPr="00A278F3">
              <w:t>Card</w:t>
            </w:r>
            <w:proofErr w:type="spellEnd"/>
            <w:r w:rsidRPr="00A278F3">
              <w:t xml:space="preserve"> </w:t>
            </w:r>
            <w:proofErr w:type="spellStart"/>
            <w:r w:rsidRPr="00A278F3">
              <w:t>Benchmark</w:t>
            </w:r>
            <w:proofErr w:type="spellEnd"/>
            <w:r w:rsidRPr="00A278F3">
              <w:t xml:space="preserve"> (https://www.videocardbenchmark.net/) wg Firmy </w:t>
            </w:r>
            <w:proofErr w:type="spellStart"/>
            <w:r w:rsidRPr="00A278F3">
              <w:t>PassMark</w:t>
            </w:r>
            <w:proofErr w:type="spellEnd"/>
            <w:r w:rsidRPr="00A278F3">
              <w:t xml:space="preserve"> Software (http://www.passmark.com), posiadająca wyjścia co najmniej: 1x HDMI, 1 x DVI, 1 x Display Port</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Pamięć RAM</w:t>
            </w:r>
          </w:p>
        </w:tc>
        <w:tc>
          <w:tcPr>
            <w:tcW w:w="5696" w:type="dxa"/>
          </w:tcPr>
          <w:p w:rsidR="00873113" w:rsidRPr="00A278F3" w:rsidRDefault="00873113" w:rsidP="00873113">
            <w:r w:rsidRPr="00A278F3">
              <w:t>Nie mniej niż 2x8GB DDR4, kompatybilna z ww. płytą</w:t>
            </w:r>
          </w:p>
        </w:tc>
        <w:tc>
          <w:tcPr>
            <w:tcW w:w="1948" w:type="dxa"/>
          </w:tcPr>
          <w:p w:rsidR="00873113" w:rsidRPr="00452DEB" w:rsidRDefault="00873113" w:rsidP="00873113">
            <w:pPr>
              <w:rPr>
                <w:b/>
              </w:rPr>
            </w:pPr>
          </w:p>
        </w:tc>
      </w:tr>
      <w:tr w:rsidR="00873113" w:rsidRPr="002D1AF5" w:rsidTr="00873113">
        <w:trPr>
          <w:trHeight w:val="315"/>
        </w:trPr>
        <w:tc>
          <w:tcPr>
            <w:tcW w:w="1896" w:type="dxa"/>
          </w:tcPr>
          <w:p w:rsidR="00873113" w:rsidRPr="00A278F3" w:rsidRDefault="00873113" w:rsidP="00873113">
            <w:r w:rsidRPr="00A278F3">
              <w:t xml:space="preserve">Dysk twardy SSD </w:t>
            </w:r>
            <w:proofErr w:type="spellStart"/>
            <w:r w:rsidRPr="00A278F3">
              <w:t>NVMe</w:t>
            </w:r>
            <w:proofErr w:type="spellEnd"/>
          </w:p>
        </w:tc>
        <w:tc>
          <w:tcPr>
            <w:tcW w:w="5696" w:type="dxa"/>
          </w:tcPr>
          <w:p w:rsidR="00873113" w:rsidRPr="00A278F3" w:rsidRDefault="00873113" w:rsidP="00873113">
            <w:r w:rsidRPr="00A278F3">
              <w:t xml:space="preserve">W technologii SSD </w:t>
            </w:r>
            <w:proofErr w:type="spellStart"/>
            <w:r w:rsidRPr="00A278F3">
              <w:t>NVMe</w:t>
            </w:r>
            <w:proofErr w:type="spellEnd"/>
            <w:r w:rsidRPr="00A278F3">
              <w:t xml:space="preserve">,  pojemność nie mniej niż 1TB, osiągający wynik przynajmniej 15200 pkt. w teście </w:t>
            </w:r>
            <w:proofErr w:type="spellStart"/>
            <w:r w:rsidRPr="00A278F3">
              <w:t>Hard</w:t>
            </w:r>
            <w:proofErr w:type="spellEnd"/>
            <w:r w:rsidRPr="00A278F3">
              <w:t xml:space="preserve"> </w:t>
            </w:r>
            <w:proofErr w:type="spellStart"/>
            <w:r w:rsidRPr="00A278F3">
              <w:t>Drive</w:t>
            </w:r>
            <w:proofErr w:type="spellEnd"/>
            <w:r w:rsidRPr="00A278F3">
              <w:t xml:space="preserve"> </w:t>
            </w:r>
            <w:proofErr w:type="spellStart"/>
            <w:r w:rsidRPr="00A278F3">
              <w:t>Benchmarks</w:t>
            </w:r>
            <w:proofErr w:type="spellEnd"/>
            <w:r w:rsidRPr="00A278F3">
              <w:t xml:space="preserve"> (http://www.harddrivebenchmark.net/) wg Firmy </w:t>
            </w:r>
            <w:proofErr w:type="spellStart"/>
            <w:r w:rsidRPr="00A278F3">
              <w:t>PassMark</w:t>
            </w:r>
            <w:proofErr w:type="spellEnd"/>
            <w:r w:rsidRPr="00A278F3">
              <w:t xml:space="preserve"> Software (http://www.passmark.com).</w:t>
            </w:r>
          </w:p>
        </w:tc>
        <w:tc>
          <w:tcPr>
            <w:tcW w:w="1948" w:type="dxa"/>
          </w:tcPr>
          <w:p w:rsidR="00873113" w:rsidRPr="002D1AF5" w:rsidRDefault="00873113" w:rsidP="00873113">
            <w:pPr>
              <w:rPr>
                <w:b/>
              </w:rPr>
            </w:pPr>
          </w:p>
        </w:tc>
      </w:tr>
      <w:tr w:rsidR="00873113" w:rsidRPr="002D1AF5" w:rsidTr="00873113">
        <w:trPr>
          <w:trHeight w:val="315"/>
        </w:trPr>
        <w:tc>
          <w:tcPr>
            <w:tcW w:w="1896" w:type="dxa"/>
          </w:tcPr>
          <w:p w:rsidR="00873113" w:rsidRPr="00A278F3" w:rsidRDefault="00873113" w:rsidP="00873113">
            <w:r w:rsidRPr="00A278F3">
              <w:t>Obudowa</w:t>
            </w:r>
          </w:p>
        </w:tc>
        <w:tc>
          <w:tcPr>
            <w:tcW w:w="5696" w:type="dxa"/>
          </w:tcPr>
          <w:p w:rsidR="00873113" w:rsidRPr="00A278F3" w:rsidRDefault="00873113" w:rsidP="00873113">
            <w:r w:rsidRPr="00A278F3">
              <w:t xml:space="preserve">Stojąca typu </w:t>
            </w:r>
            <w:proofErr w:type="spellStart"/>
            <w:r w:rsidRPr="00A278F3">
              <w:t>midi-tower</w:t>
            </w:r>
            <w:proofErr w:type="spellEnd"/>
            <w:r w:rsidRPr="00A278F3">
              <w:t>, posiadająca 2 gniazda USB 3.0 oraz słuchawkowe i mikrofonowe w panelu przednim, fabrycznie wyciszona, wyposażona w wentylator 120mm oraz w co najmniej jeden wentylator 140mm.</w:t>
            </w:r>
          </w:p>
        </w:tc>
        <w:tc>
          <w:tcPr>
            <w:tcW w:w="1948" w:type="dxa"/>
          </w:tcPr>
          <w:p w:rsidR="00873113" w:rsidRPr="002D1AF5" w:rsidRDefault="00873113" w:rsidP="00873113">
            <w:pPr>
              <w:rPr>
                <w:b/>
              </w:rPr>
            </w:pPr>
          </w:p>
        </w:tc>
      </w:tr>
      <w:tr w:rsidR="00873113" w:rsidRPr="002D1AF5" w:rsidTr="00873113">
        <w:trPr>
          <w:trHeight w:val="547"/>
        </w:trPr>
        <w:tc>
          <w:tcPr>
            <w:tcW w:w="1896" w:type="dxa"/>
          </w:tcPr>
          <w:p w:rsidR="00873113" w:rsidRPr="00A278F3" w:rsidRDefault="00873113" w:rsidP="00873113">
            <w:r w:rsidRPr="00A278F3">
              <w:t>Napędy</w:t>
            </w:r>
          </w:p>
        </w:tc>
        <w:tc>
          <w:tcPr>
            <w:tcW w:w="5696" w:type="dxa"/>
          </w:tcPr>
          <w:p w:rsidR="00873113" w:rsidRPr="00A278F3" w:rsidRDefault="00873113" w:rsidP="00873113">
            <w:r w:rsidRPr="00A278F3">
              <w:t>Nagrywarka DVD+/- RW.</w:t>
            </w:r>
          </w:p>
        </w:tc>
        <w:tc>
          <w:tcPr>
            <w:tcW w:w="1948" w:type="dxa"/>
          </w:tcPr>
          <w:p w:rsidR="00873113" w:rsidRPr="002D1AF5"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Zasilacz</w:t>
            </w:r>
          </w:p>
        </w:tc>
        <w:tc>
          <w:tcPr>
            <w:tcW w:w="5696" w:type="dxa"/>
          </w:tcPr>
          <w:p w:rsidR="00873113" w:rsidRPr="00A278F3" w:rsidRDefault="00873113" w:rsidP="00873113">
            <w:r w:rsidRPr="00A278F3">
              <w:t xml:space="preserve">Moc min. 600W, sprawność co najmniej 80 Plus </w:t>
            </w:r>
            <w:proofErr w:type="spellStart"/>
            <w:r w:rsidRPr="00A278F3">
              <w:t>Bronze</w:t>
            </w:r>
            <w:proofErr w:type="spellEnd"/>
            <w:r w:rsidRPr="00A278F3">
              <w:t>, Standard 230V EU,</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Oprogramowanie</w:t>
            </w:r>
          </w:p>
        </w:tc>
        <w:tc>
          <w:tcPr>
            <w:tcW w:w="5696" w:type="dxa"/>
          </w:tcPr>
          <w:p w:rsidR="00873113" w:rsidRPr="00A278F3" w:rsidRDefault="00873113" w:rsidP="00873113">
            <w:r w:rsidRPr="00A278F3">
              <w:t>System operacyjny Microsoft Windows 10 Pro PL 64 Bit OEM</w:t>
            </w:r>
          </w:p>
        </w:tc>
        <w:tc>
          <w:tcPr>
            <w:tcW w:w="1948" w:type="dxa"/>
          </w:tcPr>
          <w:p w:rsidR="00873113" w:rsidRPr="007F63C3"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Dodatkowe</w:t>
            </w:r>
          </w:p>
        </w:tc>
        <w:tc>
          <w:tcPr>
            <w:tcW w:w="5696" w:type="dxa"/>
          </w:tcPr>
          <w:p w:rsidR="00873113" w:rsidRPr="00A278F3" w:rsidRDefault="00873113" w:rsidP="00873113">
            <w:r w:rsidRPr="00A278F3">
              <w:t xml:space="preserve">Klawiatura USB z klawiaturą numeryczną oraz wbudowaną podpórką pod nadgarstki, w układzie QWERTY. Pełnowymiarowa mysz USB z rolką, o rozdzielczości optycznej min. 1000 </w:t>
            </w:r>
            <w:proofErr w:type="spellStart"/>
            <w:r w:rsidRPr="00A278F3">
              <w:t>dpi</w:t>
            </w:r>
            <w:proofErr w:type="spellEnd"/>
            <w:r w:rsidRPr="00A278F3">
              <w:t>, 3 przyciski, długość kabla min.180cm.</w:t>
            </w:r>
          </w:p>
        </w:tc>
        <w:tc>
          <w:tcPr>
            <w:tcW w:w="1948" w:type="dxa"/>
          </w:tcPr>
          <w:p w:rsidR="00873113" w:rsidRPr="00452DEB" w:rsidRDefault="00873113" w:rsidP="00873113">
            <w:pPr>
              <w:rPr>
                <w:b/>
              </w:rPr>
            </w:pPr>
          </w:p>
        </w:tc>
      </w:tr>
      <w:tr w:rsidR="00873113" w:rsidRPr="006E3B47" w:rsidTr="00873113">
        <w:trPr>
          <w:trHeight w:val="315"/>
        </w:trPr>
        <w:tc>
          <w:tcPr>
            <w:tcW w:w="1896" w:type="dxa"/>
          </w:tcPr>
          <w:p w:rsidR="00873113" w:rsidRPr="00A278F3" w:rsidRDefault="00873113" w:rsidP="00873113">
            <w:r w:rsidRPr="00A278F3">
              <w:t>Gwarancja</w:t>
            </w:r>
          </w:p>
        </w:tc>
        <w:tc>
          <w:tcPr>
            <w:tcW w:w="5696" w:type="dxa"/>
          </w:tcPr>
          <w:p w:rsidR="00873113" w:rsidRPr="00A278F3" w:rsidRDefault="00873113" w:rsidP="00873113">
            <w:r w:rsidRPr="00A278F3">
              <w:t>Gwarancja pisemna nie krótsza niż 24 miesiące. Komputer niezaplombowany.</w:t>
            </w:r>
          </w:p>
        </w:tc>
        <w:tc>
          <w:tcPr>
            <w:tcW w:w="1948" w:type="dxa"/>
          </w:tcPr>
          <w:p w:rsidR="00873113" w:rsidRPr="007F63C3" w:rsidRDefault="00873113" w:rsidP="00873113">
            <w:pPr>
              <w:rPr>
                <w:b/>
              </w:rPr>
            </w:pPr>
          </w:p>
        </w:tc>
      </w:tr>
    </w:tbl>
    <w:p w:rsidR="00D66B1E" w:rsidRDefault="0032033C" w:rsidP="00D66B1E">
      <w:pPr>
        <w:spacing w:line="360" w:lineRule="auto"/>
        <w:rPr>
          <w:b/>
          <w:color w:val="000000"/>
        </w:rPr>
      </w:pPr>
      <w:bookmarkStart w:id="0" w:name="_GoBack"/>
      <w:bookmarkEnd w:id="0"/>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26578" w:rsidRDefault="00D66B1E" w:rsidP="0041020A">
      <w:pPr>
        <w:spacing w:line="360" w:lineRule="auto"/>
        <w:rPr>
          <w:b/>
          <w:color w:val="000000"/>
        </w:rPr>
      </w:pPr>
      <w:r>
        <w:rPr>
          <w:b/>
          <w:color w:val="000000"/>
        </w:rPr>
        <w:t>Wartość brutto:…………………………………………………….</w:t>
      </w:r>
    </w:p>
    <w:p w:rsidR="002001FE" w:rsidRDefault="002001FE" w:rsidP="0041020A">
      <w:pPr>
        <w:spacing w:line="360" w:lineRule="auto"/>
        <w:rPr>
          <w:b/>
          <w:color w:val="000000"/>
        </w:rPr>
      </w:pPr>
    </w:p>
    <w:p w:rsidR="00414B3A" w:rsidRDefault="00D66B1E"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873113" w:rsidRDefault="00873113" w:rsidP="00C05A37">
      <w:pPr>
        <w:spacing w:line="360" w:lineRule="auto"/>
        <w:rPr>
          <w:b/>
          <w:color w:val="000000"/>
          <w:u w:val="single"/>
        </w:rPr>
      </w:pPr>
    </w:p>
    <w:p w:rsidR="00873113" w:rsidRDefault="00873113" w:rsidP="00C05A37">
      <w:pPr>
        <w:spacing w:line="360" w:lineRule="auto"/>
        <w:rPr>
          <w:b/>
          <w:color w:val="000000"/>
          <w:u w:val="single"/>
        </w:rPr>
      </w:pPr>
      <w:r>
        <w:rPr>
          <w:b/>
          <w:color w:val="000000"/>
          <w:u w:val="single"/>
        </w:rPr>
        <w:t>……………………………………………</w:t>
      </w:r>
    </w:p>
    <w:p w:rsidR="00B46B79" w:rsidRDefault="00B46B79" w:rsidP="00C05A37">
      <w:pPr>
        <w:spacing w:line="360" w:lineRule="auto"/>
        <w:rPr>
          <w:b/>
          <w:color w:val="000000"/>
          <w:u w:val="single"/>
        </w:rPr>
      </w:pPr>
    </w:p>
    <w:p w:rsidR="00B46B79" w:rsidRDefault="00B46B79" w:rsidP="00C05A37">
      <w:pPr>
        <w:spacing w:line="360" w:lineRule="auto"/>
        <w:rPr>
          <w:b/>
          <w:color w:val="000000"/>
          <w:u w:val="single"/>
        </w:rPr>
      </w:pPr>
    </w:p>
    <w:p w:rsidR="00B46B79" w:rsidRDefault="00B46B79" w:rsidP="00C05A37">
      <w:pPr>
        <w:spacing w:line="360" w:lineRule="auto"/>
        <w:rPr>
          <w:b/>
          <w:color w:val="000000"/>
          <w:u w:val="single"/>
        </w:rPr>
      </w:pPr>
    </w:p>
    <w:p w:rsidR="0026499F" w:rsidRPr="00D73096" w:rsidRDefault="0026499F" w:rsidP="00C05A37">
      <w:pPr>
        <w:spacing w:line="360" w:lineRule="auto"/>
        <w:rPr>
          <w:b/>
          <w:color w:val="000000"/>
          <w:u w:val="single"/>
        </w:rPr>
      </w:pPr>
    </w:p>
    <w:p w:rsidR="00B46B79" w:rsidRPr="008D61FE" w:rsidRDefault="00B46B79" w:rsidP="00B46B79">
      <w:pPr>
        <w:rPr>
          <w:b/>
          <w:color w:val="000000"/>
          <w:sz w:val="28"/>
          <w:szCs w:val="28"/>
          <w:u w:val="single"/>
        </w:rPr>
      </w:pPr>
      <w:r>
        <w:rPr>
          <w:b/>
          <w:color w:val="000000"/>
          <w:sz w:val="28"/>
          <w:szCs w:val="28"/>
          <w:u w:val="single"/>
        </w:rPr>
        <w:lastRenderedPageBreak/>
        <w:t>Część 3</w:t>
      </w:r>
    </w:p>
    <w:p w:rsidR="00B46B79" w:rsidRDefault="00B46B79" w:rsidP="00B46B79">
      <w:pPr>
        <w:rPr>
          <w:b/>
          <w:color w:val="000000"/>
          <w:u w:val="single"/>
        </w:rPr>
      </w:pPr>
    </w:p>
    <w:p w:rsidR="00B46B79" w:rsidRPr="00BD53D8" w:rsidRDefault="00B46B79" w:rsidP="00B46B79">
      <w:pPr>
        <w:rPr>
          <w:b/>
          <w:u w:val="single"/>
        </w:rPr>
      </w:pPr>
      <w:r>
        <w:rPr>
          <w:b/>
          <w:u w:val="single"/>
        </w:rPr>
        <w:t>Monitor</w:t>
      </w:r>
    </w:p>
    <w:p w:rsidR="00B46B79" w:rsidRDefault="00B46B79" w:rsidP="00B46B79">
      <w:pPr>
        <w:rPr>
          <w:b/>
          <w:color w:val="000000"/>
        </w:rPr>
      </w:pPr>
    </w:p>
    <w:p w:rsidR="00B46B79" w:rsidRPr="00D31B33" w:rsidRDefault="00B46B79" w:rsidP="00B46B79">
      <w:pPr>
        <w:pStyle w:val="Tekstpodstawowy"/>
        <w:rPr>
          <w:b/>
        </w:rPr>
      </w:pPr>
      <w:r>
        <w:rPr>
          <w:b/>
        </w:rPr>
        <w:t xml:space="preserve">3.1. Monitor – 2 sztuki </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p w:rsidR="00B46B79" w:rsidRDefault="00B46B79" w:rsidP="00B46B79">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70"/>
        <w:gridCol w:w="5675"/>
        <w:gridCol w:w="21"/>
        <w:gridCol w:w="1948"/>
      </w:tblGrid>
      <w:tr w:rsidR="00B46B79" w:rsidRPr="00B40010" w:rsidTr="00B46B79">
        <w:trPr>
          <w:trHeight w:val="315"/>
        </w:trPr>
        <w:tc>
          <w:tcPr>
            <w:tcW w:w="1896" w:type="dxa"/>
            <w:gridSpan w:val="2"/>
          </w:tcPr>
          <w:p w:rsidR="00B46B79" w:rsidRPr="00B40010" w:rsidRDefault="00B46B79" w:rsidP="00B46B79">
            <w:pPr>
              <w:rPr>
                <w:b/>
              </w:rPr>
            </w:pPr>
            <w:r w:rsidRPr="00B40010">
              <w:rPr>
                <w:b/>
                <w:sz w:val="22"/>
                <w:szCs w:val="22"/>
              </w:rPr>
              <w:t>Parametr</w:t>
            </w:r>
          </w:p>
        </w:tc>
        <w:tc>
          <w:tcPr>
            <w:tcW w:w="5696" w:type="dxa"/>
            <w:gridSpan w:val="2"/>
          </w:tcPr>
          <w:p w:rsidR="00B46B79" w:rsidRPr="00B40010" w:rsidRDefault="00B46B79" w:rsidP="00B46B79">
            <w:pPr>
              <w:rPr>
                <w:b/>
              </w:rPr>
            </w:pPr>
            <w:r w:rsidRPr="00B40010">
              <w:rPr>
                <w:b/>
                <w:sz w:val="22"/>
                <w:szCs w:val="22"/>
              </w:rPr>
              <w:t>Żądany przez zamawiającego</w:t>
            </w:r>
          </w:p>
        </w:tc>
        <w:tc>
          <w:tcPr>
            <w:tcW w:w="1948" w:type="dxa"/>
          </w:tcPr>
          <w:p w:rsidR="00B46B79" w:rsidRPr="00B40010" w:rsidRDefault="00B46B79" w:rsidP="00B46B79">
            <w:pPr>
              <w:rPr>
                <w:b/>
              </w:rPr>
            </w:pPr>
            <w:r w:rsidRPr="00B40010">
              <w:rPr>
                <w:b/>
                <w:sz w:val="22"/>
                <w:szCs w:val="22"/>
              </w:rPr>
              <w:t xml:space="preserve"> Oferowany</w:t>
            </w:r>
          </w:p>
        </w:tc>
      </w:tr>
      <w:tr w:rsidR="00B46B79" w:rsidRPr="002D1AF5" w:rsidTr="00B46B79">
        <w:trPr>
          <w:trHeight w:val="315"/>
        </w:trPr>
        <w:tc>
          <w:tcPr>
            <w:tcW w:w="1896" w:type="dxa"/>
            <w:gridSpan w:val="2"/>
          </w:tcPr>
          <w:p w:rsidR="00B46B79" w:rsidRPr="00A278F3" w:rsidRDefault="00B46B79" w:rsidP="00B46B79">
            <w:r w:rsidRPr="00A278F3">
              <w:t>Procesor wraz z chłodzeniem</w:t>
            </w:r>
          </w:p>
        </w:tc>
        <w:tc>
          <w:tcPr>
            <w:tcW w:w="5696" w:type="dxa"/>
            <w:gridSpan w:val="2"/>
          </w:tcPr>
          <w:p w:rsidR="00B46B79" w:rsidRPr="00A278F3" w:rsidRDefault="00B46B79" w:rsidP="00B46B79">
            <w:r w:rsidRPr="00A278F3">
              <w:t xml:space="preserve">6 rdzeniowy, 12 wątkowy, osiągający przynajmniej 12700 pkt. w teście CPU </w:t>
            </w:r>
            <w:proofErr w:type="spellStart"/>
            <w:r w:rsidRPr="00A278F3">
              <w:t>Benchmark</w:t>
            </w:r>
            <w:proofErr w:type="spellEnd"/>
            <w:r w:rsidRPr="00A278F3">
              <w:t xml:space="preserve"> Net (http://www.cpubenchmark.net/) wg Firmy </w:t>
            </w:r>
            <w:proofErr w:type="spellStart"/>
            <w:r w:rsidRPr="00A278F3">
              <w:t>PassMark</w:t>
            </w:r>
            <w:proofErr w:type="spellEnd"/>
            <w:r w:rsidRPr="00A278F3">
              <w:t xml:space="preserve"> Software (http://www.passmark.com), taktowany zegarem co najmniej 2,9 </w:t>
            </w:r>
            <w:proofErr w:type="spellStart"/>
            <w:r w:rsidRPr="00A278F3">
              <w:t>GHz</w:t>
            </w:r>
            <w:proofErr w:type="spellEnd"/>
            <w:r w:rsidRPr="00A278F3">
              <w:t xml:space="preserve"> ( 4,3 </w:t>
            </w:r>
            <w:proofErr w:type="spellStart"/>
            <w:r w:rsidRPr="00A278F3">
              <w:t>GHz</w:t>
            </w:r>
            <w:proofErr w:type="spellEnd"/>
            <w:r w:rsidRPr="00A278F3">
              <w:t xml:space="preserve"> w trybie Turbo </w:t>
            </w:r>
            <w:proofErr w:type="spellStart"/>
            <w:r w:rsidRPr="00A278F3">
              <w:t>Speed</w:t>
            </w:r>
            <w:proofErr w:type="spellEnd"/>
            <w:r w:rsidRPr="00A278F3">
              <w:t>)  posiadający zintegrowaną kartę graficzną. Chłodzenie dedykowane do oferowanego procesora.</w:t>
            </w:r>
          </w:p>
        </w:tc>
        <w:tc>
          <w:tcPr>
            <w:tcW w:w="1948" w:type="dxa"/>
          </w:tcPr>
          <w:p w:rsidR="00B46B79" w:rsidRPr="002D1AF5"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Przekątna ekranu</w:t>
            </w:r>
          </w:p>
        </w:tc>
        <w:tc>
          <w:tcPr>
            <w:tcW w:w="5696" w:type="dxa"/>
            <w:gridSpan w:val="2"/>
          </w:tcPr>
          <w:p w:rsidR="00B46B79" w:rsidRPr="00CA2A46" w:rsidRDefault="00B46B79" w:rsidP="00B46B79">
            <w:pPr>
              <w:spacing w:before="100" w:beforeAutospacing="1" w:after="119"/>
            </w:pPr>
            <w:r w:rsidRPr="00CA2A46">
              <w:t xml:space="preserve">Nie mniej niż 23 i nie więcej niż 24 cale </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Format obrazu</w:t>
            </w:r>
          </w:p>
        </w:tc>
        <w:tc>
          <w:tcPr>
            <w:tcW w:w="5696" w:type="dxa"/>
            <w:gridSpan w:val="2"/>
          </w:tcPr>
          <w:p w:rsidR="00B46B79" w:rsidRPr="00CA2A46" w:rsidRDefault="00B46B79" w:rsidP="00B46B79">
            <w:pPr>
              <w:spacing w:before="100" w:beforeAutospacing="1" w:after="119"/>
            </w:pPr>
            <w:r w:rsidRPr="00CA2A46">
              <w:t>16:9</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Rozdzielczość nominalna</w:t>
            </w:r>
          </w:p>
        </w:tc>
        <w:tc>
          <w:tcPr>
            <w:tcW w:w="5696" w:type="dxa"/>
            <w:gridSpan w:val="2"/>
          </w:tcPr>
          <w:p w:rsidR="00B46B79" w:rsidRPr="00CA2A46" w:rsidRDefault="00B46B79" w:rsidP="00B46B79">
            <w:pPr>
              <w:spacing w:before="100" w:beforeAutospacing="1" w:after="119"/>
            </w:pPr>
            <w:r w:rsidRPr="00CA2A46">
              <w:t>nie mniej niż 1920x1080</w:t>
            </w:r>
          </w:p>
        </w:tc>
        <w:tc>
          <w:tcPr>
            <w:tcW w:w="1948" w:type="dxa"/>
          </w:tcPr>
          <w:p w:rsidR="00B46B79" w:rsidRPr="00452DEB" w:rsidRDefault="00B46B79" w:rsidP="00B46B79">
            <w:pPr>
              <w:rPr>
                <w:b/>
              </w:rPr>
            </w:pPr>
          </w:p>
        </w:tc>
      </w:tr>
      <w:tr w:rsidR="00B46B79" w:rsidRPr="002D1AF5" w:rsidTr="00B46B79">
        <w:trPr>
          <w:trHeight w:val="315"/>
        </w:trPr>
        <w:tc>
          <w:tcPr>
            <w:tcW w:w="1896" w:type="dxa"/>
            <w:gridSpan w:val="2"/>
          </w:tcPr>
          <w:p w:rsidR="00B46B79" w:rsidRPr="00CA2A46" w:rsidRDefault="00B46B79" w:rsidP="00B46B79">
            <w:pPr>
              <w:spacing w:before="100" w:beforeAutospacing="1" w:after="119"/>
            </w:pPr>
            <w:r w:rsidRPr="00CA2A46">
              <w:t>Rodzaj matrycy</w:t>
            </w:r>
          </w:p>
        </w:tc>
        <w:tc>
          <w:tcPr>
            <w:tcW w:w="5696" w:type="dxa"/>
            <w:gridSpan w:val="2"/>
          </w:tcPr>
          <w:p w:rsidR="00B46B79" w:rsidRPr="00CA2A46" w:rsidRDefault="00B46B79" w:rsidP="00B46B79">
            <w:pPr>
              <w:spacing w:before="100" w:beforeAutospacing="1" w:after="119"/>
            </w:pPr>
            <w:r w:rsidRPr="00CA2A46">
              <w:t>Matowa IPS</w:t>
            </w:r>
          </w:p>
        </w:tc>
        <w:tc>
          <w:tcPr>
            <w:tcW w:w="1948" w:type="dxa"/>
          </w:tcPr>
          <w:p w:rsidR="00B46B79" w:rsidRPr="002D1AF5" w:rsidRDefault="00B46B79" w:rsidP="00B46B79">
            <w:pPr>
              <w:rPr>
                <w:b/>
              </w:rPr>
            </w:pPr>
          </w:p>
        </w:tc>
      </w:tr>
      <w:tr w:rsidR="00B46B79" w:rsidRPr="002D1AF5" w:rsidTr="00B46B79">
        <w:trPr>
          <w:trHeight w:val="315"/>
        </w:trPr>
        <w:tc>
          <w:tcPr>
            <w:tcW w:w="1896" w:type="dxa"/>
            <w:gridSpan w:val="2"/>
          </w:tcPr>
          <w:p w:rsidR="00B46B79" w:rsidRPr="00CA2A46" w:rsidRDefault="00B46B79" w:rsidP="00B46B79">
            <w:pPr>
              <w:spacing w:before="100" w:beforeAutospacing="1" w:after="119"/>
            </w:pPr>
            <w:r w:rsidRPr="00CA2A46">
              <w:t>Kąty widzenia pion/poziom</w:t>
            </w:r>
          </w:p>
        </w:tc>
        <w:tc>
          <w:tcPr>
            <w:tcW w:w="5696" w:type="dxa"/>
            <w:gridSpan w:val="2"/>
          </w:tcPr>
          <w:p w:rsidR="00B46B79" w:rsidRPr="00CA2A46" w:rsidRDefault="00B46B79" w:rsidP="00B46B79">
            <w:pPr>
              <w:spacing w:before="100" w:beforeAutospacing="1" w:after="119"/>
            </w:pPr>
            <w:r w:rsidRPr="00CA2A46">
              <w:t>Nie mniej niż 178/178 pion/poziom</w:t>
            </w:r>
          </w:p>
        </w:tc>
        <w:tc>
          <w:tcPr>
            <w:tcW w:w="1948" w:type="dxa"/>
          </w:tcPr>
          <w:p w:rsidR="00B46B79" w:rsidRPr="002D1AF5" w:rsidRDefault="00B46B79" w:rsidP="00B46B79">
            <w:pPr>
              <w:rPr>
                <w:b/>
              </w:rPr>
            </w:pPr>
          </w:p>
        </w:tc>
      </w:tr>
      <w:tr w:rsidR="00B46B79" w:rsidRPr="002D1AF5" w:rsidTr="00B46B79">
        <w:trPr>
          <w:trHeight w:val="547"/>
        </w:trPr>
        <w:tc>
          <w:tcPr>
            <w:tcW w:w="1896" w:type="dxa"/>
            <w:gridSpan w:val="2"/>
          </w:tcPr>
          <w:p w:rsidR="00B46B79" w:rsidRPr="00CA2A46" w:rsidRDefault="00B46B79" w:rsidP="00B46B79">
            <w:pPr>
              <w:spacing w:before="100" w:beforeAutospacing="1" w:after="119"/>
            </w:pPr>
            <w:r w:rsidRPr="00CA2A46">
              <w:t>Gniazda</w:t>
            </w:r>
          </w:p>
        </w:tc>
        <w:tc>
          <w:tcPr>
            <w:tcW w:w="5696" w:type="dxa"/>
            <w:gridSpan w:val="2"/>
          </w:tcPr>
          <w:p w:rsidR="00B46B79" w:rsidRPr="00CA2A46" w:rsidRDefault="00B46B79" w:rsidP="00B46B79">
            <w:pPr>
              <w:spacing w:before="100" w:beforeAutospacing="1" w:after="119"/>
            </w:pPr>
            <w:r w:rsidRPr="00CA2A46">
              <w:t xml:space="preserve">Nie mniej niż po 1 szt.: </w:t>
            </w:r>
            <w:proofErr w:type="spellStart"/>
            <w:r w:rsidRPr="00CA2A46">
              <w:t>VGA,DVI-D,HDMI,Wyjście</w:t>
            </w:r>
            <w:proofErr w:type="spellEnd"/>
            <w:r w:rsidRPr="00CA2A46">
              <w:t xml:space="preserve"> na słuchawki</w:t>
            </w:r>
          </w:p>
        </w:tc>
        <w:tc>
          <w:tcPr>
            <w:tcW w:w="1948" w:type="dxa"/>
          </w:tcPr>
          <w:p w:rsidR="00B46B79" w:rsidRPr="002D1AF5"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Jasność</w:t>
            </w:r>
          </w:p>
        </w:tc>
        <w:tc>
          <w:tcPr>
            <w:tcW w:w="5696" w:type="dxa"/>
            <w:gridSpan w:val="2"/>
          </w:tcPr>
          <w:p w:rsidR="00B46B79" w:rsidRPr="00CA2A46" w:rsidRDefault="00B46B79" w:rsidP="00B46B79">
            <w:pPr>
              <w:spacing w:before="100" w:beforeAutospacing="1" w:after="119"/>
            </w:pPr>
            <w:r w:rsidRPr="00CA2A46">
              <w:t xml:space="preserve">Co najmniej 250 </w:t>
            </w:r>
            <w:proofErr w:type="spellStart"/>
            <w:r w:rsidRPr="00CA2A46">
              <w:t>cd</w:t>
            </w:r>
            <w:proofErr w:type="spellEnd"/>
            <w:r w:rsidRPr="00CA2A46">
              <w:t>/m2</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Kontrast statyczny</w:t>
            </w:r>
          </w:p>
        </w:tc>
        <w:tc>
          <w:tcPr>
            <w:tcW w:w="5696" w:type="dxa"/>
            <w:gridSpan w:val="2"/>
          </w:tcPr>
          <w:p w:rsidR="00B46B79" w:rsidRPr="00CA2A46" w:rsidRDefault="00B46B79" w:rsidP="00B46B79">
            <w:pPr>
              <w:spacing w:before="100" w:beforeAutospacing="1" w:after="119"/>
            </w:pPr>
            <w:r w:rsidRPr="00CA2A46">
              <w:t>Nie mniejszy niż 1000:1</w:t>
            </w:r>
          </w:p>
        </w:tc>
        <w:tc>
          <w:tcPr>
            <w:tcW w:w="1948" w:type="dxa"/>
          </w:tcPr>
          <w:p w:rsidR="00B46B79" w:rsidRPr="007F63C3"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Czas reakcji</w:t>
            </w:r>
          </w:p>
        </w:tc>
        <w:tc>
          <w:tcPr>
            <w:tcW w:w="5696" w:type="dxa"/>
            <w:gridSpan w:val="2"/>
          </w:tcPr>
          <w:p w:rsidR="00B46B79" w:rsidRPr="00CA2A46" w:rsidRDefault="00B46B79" w:rsidP="00B46B79">
            <w:pPr>
              <w:spacing w:before="100" w:beforeAutospacing="1" w:after="119"/>
            </w:pPr>
            <w:r w:rsidRPr="00CA2A46">
              <w:t xml:space="preserve">Nie dłuższy niż 5 </w:t>
            </w:r>
            <w:proofErr w:type="spellStart"/>
            <w:r w:rsidRPr="00CA2A46">
              <w:t>ms</w:t>
            </w:r>
            <w:proofErr w:type="spellEnd"/>
            <w:r w:rsidRPr="00CA2A46">
              <w:t xml:space="preserve"> (szarości)</w:t>
            </w:r>
          </w:p>
        </w:tc>
        <w:tc>
          <w:tcPr>
            <w:tcW w:w="1948" w:type="dxa"/>
          </w:tcPr>
          <w:p w:rsidR="00B46B79" w:rsidRPr="00452DEB" w:rsidRDefault="00B46B79" w:rsidP="00B46B79">
            <w:pPr>
              <w:rPr>
                <w:b/>
              </w:rPr>
            </w:pPr>
          </w:p>
        </w:tc>
      </w:tr>
      <w:tr w:rsidR="00B46B79" w:rsidRPr="006E3B47" w:rsidTr="00B46B79">
        <w:trPr>
          <w:trHeight w:val="315"/>
        </w:trPr>
        <w:tc>
          <w:tcPr>
            <w:tcW w:w="1896" w:type="dxa"/>
            <w:gridSpan w:val="2"/>
          </w:tcPr>
          <w:p w:rsidR="00B46B79" w:rsidRPr="00CA2A46" w:rsidRDefault="00B46B79" w:rsidP="00B46B79">
            <w:pPr>
              <w:spacing w:before="100" w:beforeAutospacing="1" w:after="119"/>
            </w:pPr>
            <w:r w:rsidRPr="00CA2A46">
              <w:t>Inne</w:t>
            </w:r>
          </w:p>
        </w:tc>
        <w:tc>
          <w:tcPr>
            <w:tcW w:w="5696" w:type="dxa"/>
            <w:gridSpan w:val="2"/>
          </w:tcPr>
          <w:p w:rsidR="00B46B79" w:rsidRPr="00CA2A46" w:rsidRDefault="00B46B79" w:rsidP="00B46B79">
            <w:pPr>
              <w:spacing w:before="100" w:beforeAutospacing="1" w:after="119"/>
            </w:pPr>
            <w:r w:rsidRPr="00CA2A46">
              <w:t>Wyposażony w technologię zmniejszającą emisję szkodliwego promieniowania niebieskiego</w:t>
            </w:r>
          </w:p>
        </w:tc>
        <w:tc>
          <w:tcPr>
            <w:tcW w:w="1948" w:type="dxa"/>
          </w:tcPr>
          <w:p w:rsidR="00B46B79" w:rsidRPr="007F63C3" w:rsidRDefault="00B46B79" w:rsidP="00B46B79">
            <w:pPr>
              <w:rPr>
                <w:b/>
              </w:rPr>
            </w:pPr>
          </w:p>
        </w:tc>
      </w:tr>
      <w:tr w:rsidR="00B46B79" w:rsidRPr="006E3B47" w:rsidTr="00B46B79">
        <w:trPr>
          <w:trHeight w:val="315"/>
        </w:trPr>
        <w:tc>
          <w:tcPr>
            <w:tcW w:w="1826" w:type="dxa"/>
          </w:tcPr>
          <w:p w:rsidR="00B46B79" w:rsidRPr="00CA2A46" w:rsidRDefault="00B46B79" w:rsidP="00B46B79">
            <w:pPr>
              <w:spacing w:before="100" w:beforeAutospacing="1" w:after="119"/>
            </w:pPr>
            <w:r w:rsidRPr="00CA2A46">
              <w:t>Gwarancja</w:t>
            </w:r>
          </w:p>
        </w:tc>
        <w:tc>
          <w:tcPr>
            <w:tcW w:w="5745" w:type="dxa"/>
            <w:gridSpan w:val="2"/>
          </w:tcPr>
          <w:p w:rsidR="00B46B79" w:rsidRPr="00CA2A46" w:rsidRDefault="00B46B79" w:rsidP="00B46B79">
            <w:pPr>
              <w:spacing w:before="100" w:beforeAutospacing="1" w:after="119"/>
            </w:pPr>
            <w:r w:rsidRPr="00CA2A46">
              <w:t>Gwarancja pisemna nie krótsza niż 24 miesiące.</w:t>
            </w:r>
          </w:p>
        </w:tc>
        <w:tc>
          <w:tcPr>
            <w:tcW w:w="1969" w:type="dxa"/>
            <w:gridSpan w:val="2"/>
          </w:tcPr>
          <w:p w:rsidR="00B46B79" w:rsidRPr="00452DEB" w:rsidRDefault="00B46B79" w:rsidP="00B46B79">
            <w:pPr>
              <w:rPr>
                <w:b/>
              </w:rPr>
            </w:pPr>
          </w:p>
        </w:tc>
      </w:tr>
    </w:tbl>
    <w:p w:rsidR="00B46B79" w:rsidRDefault="00B46B79" w:rsidP="00B46B79">
      <w:pPr>
        <w:spacing w:line="360" w:lineRule="auto"/>
        <w:rPr>
          <w:b/>
          <w:color w:val="000000"/>
        </w:rPr>
      </w:pPr>
      <w:r>
        <w:rPr>
          <w:b/>
          <w:color w:val="000000"/>
        </w:rPr>
        <w:t>Cena  brutto jednostkowa</w:t>
      </w:r>
    </w:p>
    <w:p w:rsidR="00B46B79" w:rsidRDefault="00B46B79" w:rsidP="00B46B79">
      <w:pPr>
        <w:spacing w:line="360" w:lineRule="auto"/>
        <w:rPr>
          <w:b/>
          <w:color w:val="000000"/>
        </w:rPr>
      </w:pPr>
      <w:r>
        <w:rPr>
          <w:b/>
          <w:color w:val="000000"/>
        </w:rPr>
        <w:t>Część 3.1:……………………………………………………………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rPr>
      </w:pP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B46B79" w:rsidRDefault="00B46B79" w:rsidP="00B46B79">
      <w:pPr>
        <w:spacing w:line="360" w:lineRule="auto"/>
        <w:rPr>
          <w:b/>
          <w:color w:val="000000"/>
          <w:u w:val="single"/>
        </w:rPr>
      </w:pPr>
    </w:p>
    <w:p w:rsidR="00B46B79" w:rsidRDefault="00B46B79" w:rsidP="00B46B79">
      <w:pPr>
        <w:spacing w:line="360" w:lineRule="auto"/>
        <w:rPr>
          <w:b/>
          <w:color w:val="000000"/>
          <w:u w:val="single"/>
        </w:rPr>
      </w:pPr>
      <w:r>
        <w:rPr>
          <w:b/>
          <w:color w:val="000000"/>
          <w:u w:val="single"/>
        </w:rPr>
        <w:t>……………………………………………</w:t>
      </w:r>
    </w:p>
    <w:p w:rsidR="00B46B79" w:rsidRDefault="00B46B79" w:rsidP="00B46B79">
      <w:pPr>
        <w:spacing w:line="360" w:lineRule="auto"/>
        <w:rPr>
          <w:b/>
          <w:color w:val="000000"/>
          <w:u w:val="single"/>
        </w:rPr>
      </w:pPr>
    </w:p>
    <w:p w:rsidR="00B46B79" w:rsidRDefault="00B46B79" w:rsidP="00B46B79">
      <w:pPr>
        <w:spacing w:line="360" w:lineRule="auto"/>
        <w:rPr>
          <w:b/>
          <w:color w:val="000000"/>
          <w:u w:val="single"/>
        </w:rPr>
      </w:pPr>
    </w:p>
    <w:p w:rsidR="00B46B79" w:rsidRPr="00D73096" w:rsidRDefault="00B46B79" w:rsidP="00B46B79">
      <w:pPr>
        <w:spacing w:line="360" w:lineRule="auto"/>
        <w:rPr>
          <w:b/>
          <w:color w:val="000000"/>
          <w:u w:val="single"/>
        </w:rPr>
      </w:pPr>
    </w:p>
    <w:p w:rsidR="00B46B79" w:rsidRDefault="00B46B79" w:rsidP="00B46B79">
      <w:pPr>
        <w:adjustRightInd w:val="0"/>
        <w:rPr>
          <w:sz w:val="28"/>
          <w:szCs w:val="28"/>
        </w:rPr>
      </w:pPr>
    </w:p>
    <w:p w:rsidR="00B46B79" w:rsidRPr="008D61FE" w:rsidRDefault="00715765" w:rsidP="00B46B79">
      <w:pPr>
        <w:rPr>
          <w:b/>
          <w:color w:val="000000"/>
          <w:sz w:val="28"/>
          <w:szCs w:val="28"/>
          <w:u w:val="single"/>
        </w:rPr>
      </w:pPr>
      <w:r>
        <w:rPr>
          <w:b/>
          <w:color w:val="000000"/>
          <w:sz w:val="28"/>
          <w:szCs w:val="28"/>
          <w:u w:val="single"/>
        </w:rPr>
        <w:t>Część 4</w:t>
      </w:r>
    </w:p>
    <w:p w:rsidR="00B46B79" w:rsidRDefault="00B46B79" w:rsidP="00B46B79">
      <w:pPr>
        <w:rPr>
          <w:b/>
          <w:color w:val="000000"/>
          <w:u w:val="single"/>
        </w:rPr>
      </w:pPr>
    </w:p>
    <w:p w:rsidR="00B46B79" w:rsidRPr="00BD53D8" w:rsidRDefault="00715765" w:rsidP="00B46B79">
      <w:pPr>
        <w:rPr>
          <w:b/>
          <w:u w:val="single"/>
        </w:rPr>
      </w:pPr>
      <w:r>
        <w:rPr>
          <w:b/>
          <w:u w:val="single"/>
        </w:rPr>
        <w:t xml:space="preserve">Przełącznik </w:t>
      </w:r>
      <w:proofErr w:type="spellStart"/>
      <w:r>
        <w:rPr>
          <w:b/>
          <w:u w:val="single"/>
        </w:rPr>
        <w:t>switch</w:t>
      </w:r>
      <w:proofErr w:type="spellEnd"/>
    </w:p>
    <w:p w:rsidR="00B46B79" w:rsidRDefault="00B46B79" w:rsidP="00B46B79">
      <w:pPr>
        <w:rPr>
          <w:b/>
          <w:color w:val="000000"/>
        </w:rPr>
      </w:pPr>
    </w:p>
    <w:p w:rsidR="00B46B79" w:rsidRPr="00D31B33" w:rsidRDefault="00715765" w:rsidP="00B46B79">
      <w:pPr>
        <w:pStyle w:val="Tekstpodstawowy"/>
        <w:rPr>
          <w:b/>
        </w:rPr>
      </w:pPr>
      <w:r>
        <w:rPr>
          <w:b/>
        </w:rPr>
        <w:t xml:space="preserve">4.1. </w:t>
      </w:r>
      <w:proofErr w:type="spellStart"/>
      <w:r>
        <w:rPr>
          <w:b/>
        </w:rPr>
        <w:t>Switch</w:t>
      </w:r>
      <w:proofErr w:type="spellEnd"/>
      <w:r>
        <w:rPr>
          <w:b/>
        </w:rPr>
        <w:t>– 1 sztuk</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8"/>
        <w:gridCol w:w="69"/>
        <w:gridCol w:w="5605"/>
        <w:gridCol w:w="21"/>
        <w:gridCol w:w="1927"/>
      </w:tblGrid>
      <w:tr w:rsidR="00B46B79" w:rsidRPr="00B40010" w:rsidTr="0026499F">
        <w:trPr>
          <w:trHeight w:val="315"/>
        </w:trPr>
        <w:tc>
          <w:tcPr>
            <w:tcW w:w="1987" w:type="dxa"/>
            <w:gridSpan w:val="2"/>
          </w:tcPr>
          <w:p w:rsidR="00B46B79" w:rsidRPr="00B40010" w:rsidRDefault="00B46B79" w:rsidP="00B46B79">
            <w:pPr>
              <w:rPr>
                <w:b/>
              </w:rPr>
            </w:pPr>
            <w:r w:rsidRPr="00B40010">
              <w:rPr>
                <w:b/>
                <w:sz w:val="22"/>
                <w:szCs w:val="22"/>
              </w:rPr>
              <w:t>Parametr</w:t>
            </w:r>
          </w:p>
        </w:tc>
        <w:tc>
          <w:tcPr>
            <w:tcW w:w="5626" w:type="dxa"/>
            <w:gridSpan w:val="2"/>
          </w:tcPr>
          <w:p w:rsidR="00B46B79" w:rsidRPr="00B40010" w:rsidRDefault="00B46B79" w:rsidP="00B46B79">
            <w:pPr>
              <w:rPr>
                <w:b/>
              </w:rPr>
            </w:pPr>
            <w:r w:rsidRPr="00B40010">
              <w:rPr>
                <w:b/>
                <w:sz w:val="22"/>
                <w:szCs w:val="22"/>
              </w:rPr>
              <w:t>Żądany przez zamawiającego</w:t>
            </w:r>
          </w:p>
        </w:tc>
        <w:tc>
          <w:tcPr>
            <w:tcW w:w="1927" w:type="dxa"/>
          </w:tcPr>
          <w:p w:rsidR="00B46B79" w:rsidRPr="00B40010" w:rsidRDefault="00B46B79" w:rsidP="00B46B79">
            <w:pPr>
              <w:rPr>
                <w:b/>
              </w:rPr>
            </w:pPr>
            <w:r w:rsidRPr="00B40010">
              <w:rPr>
                <w:b/>
                <w:sz w:val="22"/>
                <w:szCs w:val="22"/>
              </w:rPr>
              <w:t xml:space="preserve"> Oferowany</w:t>
            </w:r>
          </w:p>
        </w:tc>
      </w:tr>
      <w:tr w:rsidR="00B46B79" w:rsidRPr="002D1AF5" w:rsidTr="0026499F">
        <w:trPr>
          <w:trHeight w:val="315"/>
        </w:trPr>
        <w:tc>
          <w:tcPr>
            <w:tcW w:w="1987" w:type="dxa"/>
            <w:gridSpan w:val="2"/>
          </w:tcPr>
          <w:p w:rsidR="00B46B79" w:rsidRPr="00A278F3" w:rsidRDefault="00B46B79" w:rsidP="00B46B79">
            <w:r w:rsidRPr="00A278F3">
              <w:t>Procesor wraz z chłodzeniem</w:t>
            </w:r>
          </w:p>
        </w:tc>
        <w:tc>
          <w:tcPr>
            <w:tcW w:w="5626" w:type="dxa"/>
            <w:gridSpan w:val="2"/>
          </w:tcPr>
          <w:p w:rsidR="00B46B79" w:rsidRPr="00A278F3" w:rsidRDefault="00B46B79" w:rsidP="00B46B79">
            <w:r w:rsidRPr="00A278F3">
              <w:t xml:space="preserve">6 rdzeniowy, 12 wątkowy, osiągający przynajmniej 12700 pkt. w teście CPU </w:t>
            </w:r>
            <w:proofErr w:type="spellStart"/>
            <w:r w:rsidRPr="00A278F3">
              <w:t>Benchmark</w:t>
            </w:r>
            <w:proofErr w:type="spellEnd"/>
            <w:r w:rsidRPr="00A278F3">
              <w:t xml:space="preserve"> Net (http://www.cpubenchmark.net/) wg Firmy </w:t>
            </w:r>
            <w:proofErr w:type="spellStart"/>
            <w:r w:rsidRPr="00A278F3">
              <w:t>PassMark</w:t>
            </w:r>
            <w:proofErr w:type="spellEnd"/>
            <w:r w:rsidRPr="00A278F3">
              <w:t xml:space="preserve"> Software (http://www.passmark.com), taktowany zegarem co najmniej 2,9 </w:t>
            </w:r>
            <w:proofErr w:type="spellStart"/>
            <w:r w:rsidRPr="00A278F3">
              <w:t>GHz</w:t>
            </w:r>
            <w:proofErr w:type="spellEnd"/>
            <w:r w:rsidRPr="00A278F3">
              <w:t xml:space="preserve"> ( 4,3 </w:t>
            </w:r>
            <w:proofErr w:type="spellStart"/>
            <w:r w:rsidRPr="00A278F3">
              <w:t>GHz</w:t>
            </w:r>
            <w:proofErr w:type="spellEnd"/>
            <w:r w:rsidRPr="00A278F3">
              <w:t xml:space="preserve"> w trybie Turbo </w:t>
            </w:r>
            <w:proofErr w:type="spellStart"/>
            <w:r w:rsidRPr="00A278F3">
              <w:t>Speed</w:t>
            </w:r>
            <w:proofErr w:type="spellEnd"/>
            <w:r w:rsidRPr="00A278F3">
              <w:t>)  posiadający zintegrowaną kartę graficzną. Chłodzenie dedykowane do oferowanego procesora.</w:t>
            </w:r>
          </w:p>
        </w:tc>
        <w:tc>
          <w:tcPr>
            <w:tcW w:w="1927" w:type="dxa"/>
          </w:tcPr>
          <w:p w:rsidR="00B46B79" w:rsidRPr="002D1AF5" w:rsidRDefault="00B46B79" w:rsidP="00B46B79">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Typ</w:t>
            </w:r>
          </w:p>
        </w:tc>
        <w:tc>
          <w:tcPr>
            <w:tcW w:w="5626" w:type="dxa"/>
            <w:gridSpan w:val="2"/>
          </w:tcPr>
          <w:p w:rsidR="00715765" w:rsidRPr="003150B5" w:rsidRDefault="00715765" w:rsidP="00715765">
            <w:pPr>
              <w:suppressLineNumbers/>
              <w:suppressAutoHyphens/>
              <w:autoSpaceDN w:val="0"/>
              <w:rPr>
                <w:rFonts w:eastAsia="Noto Sans CJK SC Regular"/>
                <w:kern w:val="3"/>
                <w:lang w:eastAsia="zh-CN" w:bidi="hi-IN"/>
              </w:rPr>
            </w:pPr>
            <w:proofErr w:type="spellStart"/>
            <w:r w:rsidRPr="003150B5">
              <w:rPr>
                <w:rFonts w:eastAsia="Noto Sans CJK SC Regular"/>
                <w:kern w:val="3"/>
                <w:szCs w:val="22"/>
                <w:lang w:eastAsia="zh-CN" w:bidi="hi-IN"/>
              </w:rPr>
              <w:t>Zarządzalny</w:t>
            </w:r>
            <w:proofErr w:type="spellEnd"/>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Porty</w:t>
            </w:r>
          </w:p>
        </w:tc>
        <w:tc>
          <w:tcPr>
            <w:tcW w:w="5626" w:type="dxa"/>
            <w:gridSpan w:val="2"/>
          </w:tcPr>
          <w:p w:rsidR="00715765" w:rsidRPr="003150B5" w:rsidRDefault="00715765" w:rsidP="00715765">
            <w:pPr>
              <w:rPr>
                <w:lang w:eastAsia="en-US"/>
              </w:rPr>
            </w:pPr>
            <w:r w:rsidRPr="003150B5">
              <w:rPr>
                <w:szCs w:val="22"/>
                <w:lang w:eastAsia="en-US"/>
              </w:rPr>
              <w:t>Nie mniej niż 48 x 10G Ethernet RJ-45.</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Przepustowość przełączania</w:t>
            </w:r>
          </w:p>
        </w:tc>
        <w:tc>
          <w:tcPr>
            <w:tcW w:w="5626" w:type="dxa"/>
            <w:gridSpan w:val="2"/>
          </w:tcPr>
          <w:p w:rsidR="00715765" w:rsidRPr="003150B5" w:rsidRDefault="00715765" w:rsidP="00715765">
            <w:pPr>
              <w:rPr>
                <w:lang w:eastAsia="en-US"/>
              </w:rPr>
            </w:pPr>
            <w:r w:rsidRPr="003150B5">
              <w:rPr>
                <w:szCs w:val="22"/>
                <w:lang w:eastAsia="en-US"/>
              </w:rPr>
              <w:t xml:space="preserve">Nie mniej niż 960 </w:t>
            </w:r>
            <w:proofErr w:type="spellStart"/>
            <w:r w:rsidRPr="003150B5">
              <w:rPr>
                <w:szCs w:val="22"/>
                <w:lang w:eastAsia="en-US"/>
              </w:rPr>
              <w:t>Gb</w:t>
            </w:r>
            <w:proofErr w:type="spellEnd"/>
            <w:r w:rsidRPr="003150B5">
              <w:rPr>
                <w:szCs w:val="22"/>
                <w:lang w:eastAsia="en-US"/>
              </w:rPr>
              <w:t>/s.</w:t>
            </w:r>
          </w:p>
        </w:tc>
        <w:tc>
          <w:tcPr>
            <w:tcW w:w="1927" w:type="dxa"/>
          </w:tcPr>
          <w:p w:rsidR="00715765" w:rsidRPr="00452DEB" w:rsidRDefault="00715765" w:rsidP="00715765">
            <w:pPr>
              <w:rPr>
                <w:b/>
              </w:rPr>
            </w:pPr>
          </w:p>
        </w:tc>
      </w:tr>
      <w:tr w:rsidR="00715765" w:rsidRPr="002D1AF5" w:rsidTr="0026499F">
        <w:trPr>
          <w:trHeight w:val="315"/>
        </w:trPr>
        <w:tc>
          <w:tcPr>
            <w:tcW w:w="1987" w:type="dxa"/>
            <w:gridSpan w:val="2"/>
          </w:tcPr>
          <w:p w:rsidR="00715765" w:rsidRPr="003150B5" w:rsidRDefault="00715765" w:rsidP="00715765">
            <w:pPr>
              <w:rPr>
                <w:lang w:eastAsia="en-US"/>
              </w:rPr>
            </w:pPr>
            <w:r w:rsidRPr="003150B5">
              <w:rPr>
                <w:szCs w:val="22"/>
                <w:lang w:eastAsia="en-US"/>
              </w:rPr>
              <w:t>Rozmiar</w:t>
            </w:r>
          </w:p>
        </w:tc>
        <w:tc>
          <w:tcPr>
            <w:tcW w:w="5626" w:type="dxa"/>
            <w:gridSpan w:val="2"/>
          </w:tcPr>
          <w:p w:rsidR="00715765" w:rsidRPr="003150B5" w:rsidRDefault="00715765" w:rsidP="00715765">
            <w:pPr>
              <w:rPr>
                <w:lang w:eastAsia="en-US"/>
              </w:rPr>
            </w:pPr>
            <w:r w:rsidRPr="003150B5">
              <w:rPr>
                <w:szCs w:val="22"/>
                <w:lang w:eastAsia="en-US"/>
              </w:rPr>
              <w:t xml:space="preserve">1U 19”. </w:t>
            </w:r>
          </w:p>
        </w:tc>
        <w:tc>
          <w:tcPr>
            <w:tcW w:w="1927" w:type="dxa"/>
          </w:tcPr>
          <w:p w:rsidR="00715765" w:rsidRPr="002D1AF5" w:rsidRDefault="00715765" w:rsidP="00715765">
            <w:pPr>
              <w:rPr>
                <w:b/>
              </w:rPr>
            </w:pPr>
          </w:p>
        </w:tc>
      </w:tr>
      <w:tr w:rsidR="00715765" w:rsidRPr="002D1AF5" w:rsidTr="0026499F">
        <w:trPr>
          <w:trHeight w:val="315"/>
        </w:trPr>
        <w:tc>
          <w:tcPr>
            <w:tcW w:w="1987" w:type="dxa"/>
            <w:gridSpan w:val="2"/>
          </w:tcPr>
          <w:p w:rsidR="00715765" w:rsidRPr="003150B5" w:rsidRDefault="00715765" w:rsidP="00715765">
            <w:pPr>
              <w:rPr>
                <w:lang w:eastAsia="en-US"/>
              </w:rPr>
            </w:pPr>
            <w:r w:rsidRPr="003150B5">
              <w:rPr>
                <w:szCs w:val="22"/>
                <w:lang w:eastAsia="en-US"/>
              </w:rPr>
              <w:t>Taktowanie procesora</w:t>
            </w:r>
          </w:p>
        </w:tc>
        <w:tc>
          <w:tcPr>
            <w:tcW w:w="5626" w:type="dxa"/>
            <w:gridSpan w:val="2"/>
          </w:tcPr>
          <w:p w:rsidR="00715765" w:rsidRPr="003150B5" w:rsidRDefault="00715765" w:rsidP="00715765">
            <w:pPr>
              <w:rPr>
                <w:lang w:eastAsia="en-US"/>
              </w:rPr>
            </w:pPr>
            <w:r w:rsidRPr="003150B5">
              <w:rPr>
                <w:szCs w:val="22"/>
                <w:lang w:eastAsia="en-US"/>
              </w:rPr>
              <w:t>Nie mniej niż 800MHz</w:t>
            </w:r>
          </w:p>
        </w:tc>
        <w:tc>
          <w:tcPr>
            <w:tcW w:w="1927" w:type="dxa"/>
          </w:tcPr>
          <w:p w:rsidR="00715765" w:rsidRPr="002D1AF5" w:rsidRDefault="00715765" w:rsidP="00715765">
            <w:pPr>
              <w:rPr>
                <w:b/>
              </w:rPr>
            </w:pPr>
          </w:p>
        </w:tc>
      </w:tr>
      <w:tr w:rsidR="00715765" w:rsidRPr="002D1AF5" w:rsidTr="0026499F">
        <w:trPr>
          <w:trHeight w:val="547"/>
        </w:trPr>
        <w:tc>
          <w:tcPr>
            <w:tcW w:w="1987" w:type="dxa"/>
            <w:gridSpan w:val="2"/>
          </w:tcPr>
          <w:p w:rsidR="00715765" w:rsidRPr="003150B5" w:rsidRDefault="00715765" w:rsidP="00715765">
            <w:pPr>
              <w:rPr>
                <w:lang w:eastAsia="en-US"/>
              </w:rPr>
            </w:pPr>
            <w:r w:rsidRPr="003150B5">
              <w:rPr>
                <w:szCs w:val="22"/>
                <w:lang w:eastAsia="en-US"/>
              </w:rPr>
              <w:t xml:space="preserve">Pojemność pamięci wewnętrznej </w:t>
            </w:r>
          </w:p>
        </w:tc>
        <w:tc>
          <w:tcPr>
            <w:tcW w:w="5626" w:type="dxa"/>
            <w:gridSpan w:val="2"/>
          </w:tcPr>
          <w:p w:rsidR="00715765" w:rsidRPr="003150B5" w:rsidRDefault="00715765" w:rsidP="00715765">
            <w:pPr>
              <w:rPr>
                <w:lang w:eastAsia="en-US"/>
              </w:rPr>
            </w:pPr>
            <w:r w:rsidRPr="003150B5">
              <w:rPr>
                <w:szCs w:val="22"/>
                <w:lang w:eastAsia="en-US"/>
              </w:rPr>
              <w:t>Nie mniej niż 512 MB</w:t>
            </w:r>
          </w:p>
        </w:tc>
        <w:tc>
          <w:tcPr>
            <w:tcW w:w="1927" w:type="dxa"/>
          </w:tcPr>
          <w:p w:rsidR="00715765" w:rsidRPr="002D1AF5"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 xml:space="preserve">Wielkość pamięci </w:t>
            </w:r>
            <w:proofErr w:type="spellStart"/>
            <w:r w:rsidRPr="003150B5">
              <w:rPr>
                <w:szCs w:val="22"/>
                <w:lang w:eastAsia="en-US"/>
              </w:rPr>
              <w:t>flash</w:t>
            </w:r>
            <w:proofErr w:type="spellEnd"/>
          </w:p>
        </w:tc>
        <w:tc>
          <w:tcPr>
            <w:tcW w:w="5626" w:type="dxa"/>
            <w:gridSpan w:val="2"/>
          </w:tcPr>
          <w:p w:rsidR="00715765" w:rsidRPr="003150B5" w:rsidRDefault="00715765" w:rsidP="00715765">
            <w:pPr>
              <w:rPr>
                <w:lang w:eastAsia="en-US"/>
              </w:rPr>
            </w:pPr>
            <w:r w:rsidRPr="003150B5">
              <w:rPr>
                <w:szCs w:val="22"/>
                <w:lang w:eastAsia="en-US"/>
              </w:rPr>
              <w:t>Nie mniej niż 256 MB</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 xml:space="preserve">Liczba złącz światłowodowych SFP+ </w:t>
            </w:r>
          </w:p>
        </w:tc>
        <w:tc>
          <w:tcPr>
            <w:tcW w:w="5626" w:type="dxa"/>
            <w:gridSpan w:val="2"/>
          </w:tcPr>
          <w:p w:rsidR="00715765" w:rsidRPr="003150B5" w:rsidRDefault="00715765" w:rsidP="00715765">
            <w:pPr>
              <w:rPr>
                <w:lang w:eastAsia="en-US"/>
              </w:rPr>
            </w:pPr>
            <w:r w:rsidRPr="003150B5">
              <w:rPr>
                <w:szCs w:val="22"/>
                <w:lang w:eastAsia="en-US"/>
              </w:rPr>
              <w:t xml:space="preserve">Nie mniej niż 2 szt. </w:t>
            </w:r>
          </w:p>
        </w:tc>
        <w:tc>
          <w:tcPr>
            <w:tcW w:w="1927" w:type="dxa"/>
          </w:tcPr>
          <w:p w:rsidR="00715765" w:rsidRPr="007F63C3"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Liczba portów USB</w:t>
            </w:r>
          </w:p>
        </w:tc>
        <w:tc>
          <w:tcPr>
            <w:tcW w:w="5626" w:type="dxa"/>
            <w:gridSpan w:val="2"/>
          </w:tcPr>
          <w:p w:rsidR="00715765" w:rsidRPr="003150B5" w:rsidRDefault="00715765" w:rsidP="00715765">
            <w:pPr>
              <w:rPr>
                <w:lang w:eastAsia="en-US"/>
              </w:rPr>
            </w:pPr>
            <w:r w:rsidRPr="003150B5">
              <w:rPr>
                <w:szCs w:val="22"/>
                <w:lang w:eastAsia="en-US"/>
              </w:rPr>
              <w:t>Nie mniej niż 1.</w:t>
            </w:r>
          </w:p>
        </w:tc>
        <w:tc>
          <w:tcPr>
            <w:tcW w:w="1927" w:type="dxa"/>
          </w:tcPr>
          <w:p w:rsidR="00715765" w:rsidRPr="00452DEB" w:rsidRDefault="00715765" w:rsidP="00715765">
            <w:pPr>
              <w:rPr>
                <w:b/>
              </w:rPr>
            </w:pPr>
          </w:p>
        </w:tc>
      </w:tr>
      <w:tr w:rsidR="00715765" w:rsidRPr="006E3B47" w:rsidTr="0026499F">
        <w:trPr>
          <w:trHeight w:val="315"/>
        </w:trPr>
        <w:tc>
          <w:tcPr>
            <w:tcW w:w="1987" w:type="dxa"/>
            <w:gridSpan w:val="2"/>
          </w:tcPr>
          <w:p w:rsidR="00715765" w:rsidRPr="003150B5" w:rsidRDefault="00715765" w:rsidP="00715765">
            <w:pPr>
              <w:rPr>
                <w:lang w:eastAsia="en-US"/>
              </w:rPr>
            </w:pPr>
            <w:r w:rsidRPr="003150B5">
              <w:rPr>
                <w:szCs w:val="22"/>
                <w:lang w:eastAsia="en-US"/>
              </w:rPr>
              <w:t>Obsługiwane standardy komunikacyjne</w:t>
            </w:r>
          </w:p>
        </w:tc>
        <w:tc>
          <w:tcPr>
            <w:tcW w:w="5626" w:type="dxa"/>
            <w:gridSpan w:val="2"/>
          </w:tcPr>
          <w:p w:rsidR="00715765" w:rsidRPr="003150B5" w:rsidRDefault="00715765" w:rsidP="00715765">
            <w:pPr>
              <w:rPr>
                <w:lang w:eastAsia="en-US"/>
              </w:rPr>
            </w:pPr>
            <w:r w:rsidRPr="003150B5">
              <w:rPr>
                <w:szCs w:val="22"/>
                <w:lang w:eastAsia="en-US"/>
              </w:rPr>
              <w:t>IEEE 802.1D,IEEE 802.1Q,IEEE 802.1p,IEEE 802.1s,IEEE 802.1w,IEEE 802.1x,IEEE 802.3,IEEE 802.3ab,IEEE 802.3ad,IEEE 802.3af,IEEE 802.3at,IEEE 802.3az,IEEE 802.3u,IEEE 802.3x,IEEE 802.3z . </w:t>
            </w:r>
          </w:p>
        </w:tc>
        <w:tc>
          <w:tcPr>
            <w:tcW w:w="1927" w:type="dxa"/>
          </w:tcPr>
          <w:p w:rsidR="00715765" w:rsidRPr="007F63C3"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Liczba VLAN</w:t>
            </w:r>
          </w:p>
        </w:tc>
        <w:tc>
          <w:tcPr>
            <w:tcW w:w="5674" w:type="dxa"/>
            <w:gridSpan w:val="2"/>
          </w:tcPr>
          <w:p w:rsidR="00715765" w:rsidRPr="003150B5" w:rsidRDefault="00715765" w:rsidP="00715765">
            <w:pPr>
              <w:rPr>
                <w:lang w:eastAsia="en-US"/>
              </w:rPr>
            </w:pPr>
            <w:r w:rsidRPr="003150B5">
              <w:rPr>
                <w:szCs w:val="22"/>
                <w:lang w:eastAsia="en-US"/>
              </w:rPr>
              <w:t>Nie mniej niż 4096.</w:t>
            </w:r>
          </w:p>
        </w:tc>
        <w:tc>
          <w:tcPr>
            <w:tcW w:w="1948" w:type="dxa"/>
            <w:gridSpan w:val="2"/>
          </w:tcPr>
          <w:p w:rsidR="00715765" w:rsidRPr="00452DEB"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Wielkość tabeli adresów</w:t>
            </w:r>
          </w:p>
        </w:tc>
        <w:tc>
          <w:tcPr>
            <w:tcW w:w="5674" w:type="dxa"/>
            <w:gridSpan w:val="2"/>
          </w:tcPr>
          <w:p w:rsidR="00715765" w:rsidRPr="003150B5" w:rsidRDefault="00715765" w:rsidP="00715765">
            <w:pPr>
              <w:rPr>
                <w:lang w:eastAsia="en-US"/>
              </w:rPr>
            </w:pPr>
            <w:r w:rsidRPr="003150B5">
              <w:rPr>
                <w:szCs w:val="22"/>
                <w:lang w:eastAsia="en-US"/>
              </w:rPr>
              <w:t>Nie mniej niż 64000.</w:t>
            </w:r>
          </w:p>
        </w:tc>
        <w:tc>
          <w:tcPr>
            <w:tcW w:w="1948" w:type="dxa"/>
            <w:gridSpan w:val="2"/>
          </w:tcPr>
          <w:p w:rsidR="00715765" w:rsidRPr="00452DEB" w:rsidRDefault="00715765" w:rsidP="00715765">
            <w:pPr>
              <w:rPr>
                <w:b/>
              </w:rPr>
            </w:pPr>
          </w:p>
        </w:tc>
      </w:tr>
      <w:tr w:rsidR="00715765" w:rsidRPr="006E3B47" w:rsidTr="0026499F">
        <w:trPr>
          <w:trHeight w:val="315"/>
        </w:trPr>
        <w:tc>
          <w:tcPr>
            <w:tcW w:w="1918" w:type="dxa"/>
          </w:tcPr>
          <w:p w:rsidR="00715765" w:rsidRPr="003150B5" w:rsidRDefault="00715765" w:rsidP="00715765">
            <w:pPr>
              <w:rPr>
                <w:lang w:eastAsia="en-US"/>
              </w:rPr>
            </w:pPr>
            <w:r w:rsidRPr="003150B5">
              <w:rPr>
                <w:szCs w:val="22"/>
                <w:lang w:eastAsia="en-US"/>
              </w:rPr>
              <w:t>Gwarancja</w:t>
            </w:r>
          </w:p>
        </w:tc>
        <w:tc>
          <w:tcPr>
            <w:tcW w:w="5674" w:type="dxa"/>
            <w:gridSpan w:val="2"/>
          </w:tcPr>
          <w:p w:rsidR="00715765" w:rsidRPr="003150B5" w:rsidRDefault="00715765" w:rsidP="00715765">
            <w:pPr>
              <w:rPr>
                <w:lang w:eastAsia="en-US"/>
              </w:rPr>
            </w:pPr>
            <w:r w:rsidRPr="003150B5">
              <w:rPr>
                <w:szCs w:val="22"/>
                <w:lang w:eastAsia="en-US"/>
              </w:rPr>
              <w:t xml:space="preserve">Gwarancja 2 lata. </w:t>
            </w:r>
          </w:p>
        </w:tc>
        <w:tc>
          <w:tcPr>
            <w:tcW w:w="1948" w:type="dxa"/>
            <w:gridSpan w:val="2"/>
          </w:tcPr>
          <w:p w:rsidR="00715765" w:rsidRPr="00452DEB" w:rsidRDefault="00715765" w:rsidP="00715765">
            <w:pPr>
              <w:rPr>
                <w:b/>
              </w:rPr>
            </w:pPr>
          </w:p>
        </w:tc>
      </w:tr>
    </w:tbl>
    <w:p w:rsidR="00B46B79" w:rsidRDefault="00B46B79" w:rsidP="00B46B79">
      <w:pPr>
        <w:spacing w:line="360" w:lineRule="auto"/>
        <w:rPr>
          <w:b/>
          <w:color w:val="000000"/>
        </w:rPr>
      </w:pPr>
      <w:r>
        <w:rPr>
          <w:b/>
          <w:color w:val="000000"/>
        </w:rPr>
        <w:t>Cena  brutto jednostkowa</w:t>
      </w:r>
    </w:p>
    <w:p w:rsidR="00B46B79" w:rsidRDefault="00715765" w:rsidP="00B46B79">
      <w:pPr>
        <w:spacing w:line="360" w:lineRule="auto"/>
        <w:rPr>
          <w:b/>
          <w:color w:val="000000"/>
        </w:rPr>
      </w:pPr>
      <w:r>
        <w:rPr>
          <w:b/>
          <w:color w:val="000000"/>
        </w:rPr>
        <w:t>Część 4</w:t>
      </w:r>
      <w:r w:rsidR="00B46B79">
        <w:rPr>
          <w:b/>
          <w:color w:val="000000"/>
        </w:rPr>
        <w:t>.1:……………………………………………………………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715765">
        <w:rPr>
          <w:b/>
          <w:color w:val="000000"/>
          <w:u w:val="single"/>
        </w:rPr>
        <w:t xml:space="preserve"> 4</w:t>
      </w:r>
      <w:r w:rsidRPr="005B6954">
        <w:rPr>
          <w:b/>
          <w:color w:val="000000"/>
          <w:u w:val="single"/>
        </w:rPr>
        <w:t>.</w:t>
      </w:r>
    </w:p>
    <w:p w:rsidR="00B46B79" w:rsidRDefault="00B46B79" w:rsidP="00B46B79">
      <w:pPr>
        <w:spacing w:line="360" w:lineRule="auto"/>
        <w:rPr>
          <w:b/>
          <w:color w:val="000000"/>
          <w:u w:val="single"/>
        </w:rPr>
      </w:pPr>
    </w:p>
    <w:p w:rsidR="00B46B79" w:rsidRPr="00D73096" w:rsidRDefault="00B46B79" w:rsidP="00B46B79">
      <w:pPr>
        <w:spacing w:line="360" w:lineRule="auto"/>
        <w:rPr>
          <w:b/>
          <w:color w:val="000000"/>
          <w:u w:val="single"/>
        </w:rPr>
      </w:pPr>
      <w:r>
        <w:rPr>
          <w:b/>
          <w:color w:val="000000"/>
          <w:u w:val="single"/>
        </w:rPr>
        <w:t>……………………………………………</w:t>
      </w:r>
    </w:p>
    <w:p w:rsidR="00B46B79" w:rsidRDefault="00B46B79" w:rsidP="00B46B79">
      <w:pPr>
        <w:adjustRightInd w:val="0"/>
        <w:ind w:left="4963" w:firstLine="709"/>
        <w:rPr>
          <w:sz w:val="28"/>
          <w:szCs w:val="28"/>
        </w:rPr>
      </w:pPr>
    </w:p>
    <w:p w:rsidR="00B46B79" w:rsidRDefault="00715765" w:rsidP="00B46B79">
      <w:pPr>
        <w:rPr>
          <w:b/>
          <w:color w:val="000000"/>
          <w:sz w:val="28"/>
          <w:szCs w:val="28"/>
          <w:u w:val="single"/>
        </w:rPr>
      </w:pPr>
      <w:r>
        <w:rPr>
          <w:b/>
          <w:color w:val="000000"/>
          <w:sz w:val="28"/>
          <w:szCs w:val="28"/>
          <w:u w:val="single"/>
        </w:rPr>
        <w:t>Część 5</w:t>
      </w:r>
    </w:p>
    <w:p w:rsidR="00715765" w:rsidRDefault="00715765" w:rsidP="00B46B79">
      <w:pPr>
        <w:rPr>
          <w:b/>
          <w:color w:val="000000"/>
          <w:u w:val="single"/>
        </w:rPr>
      </w:pPr>
    </w:p>
    <w:p w:rsidR="00B46B79" w:rsidRDefault="00715765" w:rsidP="00B46B79">
      <w:pPr>
        <w:rPr>
          <w:b/>
          <w:u w:val="single"/>
        </w:rPr>
      </w:pPr>
      <w:r>
        <w:rPr>
          <w:b/>
          <w:u w:val="single"/>
        </w:rPr>
        <w:t>Szafa montażowa stojąca 19’’</w:t>
      </w:r>
    </w:p>
    <w:p w:rsidR="00715765" w:rsidRDefault="00715765" w:rsidP="00B46B79">
      <w:pPr>
        <w:rPr>
          <w:b/>
          <w:color w:val="000000"/>
        </w:rPr>
      </w:pPr>
    </w:p>
    <w:p w:rsidR="00B46B79" w:rsidRPr="00D31B33" w:rsidRDefault="00715765" w:rsidP="00B46B79">
      <w:pPr>
        <w:pStyle w:val="Tekstpodstawowy"/>
        <w:rPr>
          <w:b/>
        </w:rPr>
      </w:pPr>
      <w:r>
        <w:rPr>
          <w:b/>
        </w:rPr>
        <w:t>5.1. Szafa– 1 sztuka</w:t>
      </w:r>
    </w:p>
    <w:p w:rsidR="00B46B79" w:rsidRDefault="00B46B79" w:rsidP="00B46B79">
      <w:pPr>
        <w:rPr>
          <w:b/>
          <w:bCs/>
          <w:color w:val="000000"/>
          <w:sz w:val="20"/>
          <w:szCs w:val="20"/>
        </w:rPr>
      </w:pPr>
      <w:r>
        <w:rPr>
          <w:b/>
          <w:bCs/>
          <w:color w:val="000000"/>
          <w:sz w:val="20"/>
          <w:szCs w:val="20"/>
        </w:rPr>
        <w:t>Oferowany t</w:t>
      </w:r>
      <w:r w:rsidRPr="005B6954">
        <w:rPr>
          <w:b/>
          <w:bCs/>
          <w:color w:val="000000"/>
          <w:sz w:val="20"/>
          <w:szCs w:val="20"/>
        </w:rPr>
        <w:t>yp / model: ……………..</w:t>
      </w:r>
    </w:p>
    <w:p w:rsidR="00B46B79" w:rsidRDefault="00B46B79" w:rsidP="00B46B79">
      <w:pPr>
        <w:rPr>
          <w:b/>
          <w:bCs/>
          <w:color w:val="000000"/>
          <w:sz w:val="20"/>
          <w:szCs w:val="20"/>
        </w:rPr>
      </w:pPr>
      <w:r w:rsidRPr="005B6954">
        <w:rPr>
          <w:b/>
          <w:bCs/>
          <w:color w:val="000000"/>
          <w:sz w:val="20"/>
          <w:szCs w:val="20"/>
        </w:rPr>
        <w:t>Producent: ………………</w:t>
      </w:r>
    </w:p>
    <w:p w:rsidR="00B46B79" w:rsidRPr="005B6954" w:rsidRDefault="00B46B79" w:rsidP="00B46B79">
      <w:pPr>
        <w:rPr>
          <w:b/>
          <w:bCs/>
          <w:color w:val="000000"/>
          <w:sz w:val="20"/>
          <w:szCs w:val="20"/>
        </w:rPr>
      </w:pPr>
    </w:p>
    <w:p w:rsidR="00B46B79" w:rsidRDefault="00B46B79" w:rsidP="00B46B79">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6"/>
        <w:gridCol w:w="70"/>
        <w:gridCol w:w="5675"/>
        <w:gridCol w:w="21"/>
        <w:gridCol w:w="1948"/>
      </w:tblGrid>
      <w:tr w:rsidR="00B46B79" w:rsidRPr="00B40010" w:rsidTr="00B46B79">
        <w:trPr>
          <w:trHeight w:val="315"/>
        </w:trPr>
        <w:tc>
          <w:tcPr>
            <w:tcW w:w="1896" w:type="dxa"/>
            <w:gridSpan w:val="2"/>
          </w:tcPr>
          <w:p w:rsidR="00B46B79" w:rsidRPr="00B40010" w:rsidRDefault="00B46B79" w:rsidP="00B46B79">
            <w:pPr>
              <w:rPr>
                <w:b/>
              </w:rPr>
            </w:pPr>
            <w:r w:rsidRPr="00B40010">
              <w:rPr>
                <w:b/>
                <w:sz w:val="22"/>
                <w:szCs w:val="22"/>
              </w:rPr>
              <w:t>Parametr</w:t>
            </w:r>
          </w:p>
        </w:tc>
        <w:tc>
          <w:tcPr>
            <w:tcW w:w="5696" w:type="dxa"/>
            <w:gridSpan w:val="2"/>
          </w:tcPr>
          <w:p w:rsidR="00B46B79" w:rsidRPr="00B40010" w:rsidRDefault="00B46B79" w:rsidP="00B46B79">
            <w:pPr>
              <w:rPr>
                <w:b/>
              </w:rPr>
            </w:pPr>
            <w:r w:rsidRPr="00B40010">
              <w:rPr>
                <w:b/>
                <w:sz w:val="22"/>
                <w:szCs w:val="22"/>
              </w:rPr>
              <w:t>Żądany przez zamawiającego</w:t>
            </w:r>
          </w:p>
        </w:tc>
        <w:tc>
          <w:tcPr>
            <w:tcW w:w="1948" w:type="dxa"/>
          </w:tcPr>
          <w:p w:rsidR="00B46B79" w:rsidRPr="00B40010" w:rsidRDefault="00B46B79" w:rsidP="00B46B79">
            <w:pPr>
              <w:rPr>
                <w:b/>
              </w:rPr>
            </w:pPr>
            <w:r w:rsidRPr="00B40010">
              <w:rPr>
                <w:b/>
                <w:sz w:val="22"/>
                <w:szCs w:val="22"/>
              </w:rPr>
              <w:t xml:space="preserve"> Oferowany</w:t>
            </w:r>
          </w:p>
        </w:tc>
      </w:tr>
      <w:tr w:rsidR="00B46B79" w:rsidRPr="002D1AF5" w:rsidTr="00B46B79">
        <w:trPr>
          <w:trHeight w:val="315"/>
        </w:trPr>
        <w:tc>
          <w:tcPr>
            <w:tcW w:w="1896" w:type="dxa"/>
            <w:gridSpan w:val="2"/>
          </w:tcPr>
          <w:p w:rsidR="00B46B79" w:rsidRPr="00A278F3" w:rsidRDefault="00B46B79" w:rsidP="00B46B79">
            <w:r w:rsidRPr="00A278F3">
              <w:t>Procesor wraz z chłodzeniem</w:t>
            </w:r>
          </w:p>
        </w:tc>
        <w:tc>
          <w:tcPr>
            <w:tcW w:w="5696" w:type="dxa"/>
            <w:gridSpan w:val="2"/>
          </w:tcPr>
          <w:p w:rsidR="00B46B79" w:rsidRPr="00A278F3" w:rsidRDefault="00B46B79" w:rsidP="00B46B79">
            <w:r w:rsidRPr="00A278F3">
              <w:t xml:space="preserve">6 rdzeniowy, 12 wątkowy, osiągający przynajmniej 12700 pkt. w teście CPU </w:t>
            </w:r>
            <w:proofErr w:type="spellStart"/>
            <w:r w:rsidRPr="00A278F3">
              <w:t>Benchmark</w:t>
            </w:r>
            <w:proofErr w:type="spellEnd"/>
            <w:r w:rsidRPr="00A278F3">
              <w:t xml:space="preserve"> Net (http://www.cpubenchmark.net/) wg Firmy </w:t>
            </w:r>
            <w:proofErr w:type="spellStart"/>
            <w:r w:rsidRPr="00A278F3">
              <w:t>PassMark</w:t>
            </w:r>
            <w:proofErr w:type="spellEnd"/>
            <w:r w:rsidRPr="00A278F3">
              <w:t xml:space="preserve"> Software (http://www.passmark.com), taktowany zegarem co najmniej 2,9 </w:t>
            </w:r>
            <w:proofErr w:type="spellStart"/>
            <w:r w:rsidRPr="00A278F3">
              <w:t>GHz</w:t>
            </w:r>
            <w:proofErr w:type="spellEnd"/>
            <w:r w:rsidRPr="00A278F3">
              <w:t xml:space="preserve"> ( 4,3 </w:t>
            </w:r>
            <w:proofErr w:type="spellStart"/>
            <w:r w:rsidRPr="00A278F3">
              <w:t>GHz</w:t>
            </w:r>
            <w:proofErr w:type="spellEnd"/>
            <w:r w:rsidRPr="00A278F3">
              <w:t xml:space="preserve"> w trybie Turbo </w:t>
            </w:r>
            <w:proofErr w:type="spellStart"/>
            <w:r w:rsidRPr="00A278F3">
              <w:t>Speed</w:t>
            </w:r>
            <w:proofErr w:type="spellEnd"/>
            <w:r w:rsidRPr="00A278F3">
              <w:t>)  posiadający zintegrowaną kartę graficzną. Chłodzenie dedykowane do oferowanego procesora.</w:t>
            </w:r>
          </w:p>
        </w:tc>
        <w:tc>
          <w:tcPr>
            <w:tcW w:w="1948" w:type="dxa"/>
          </w:tcPr>
          <w:p w:rsidR="00B46B79" w:rsidRPr="002D1AF5" w:rsidRDefault="00B46B79" w:rsidP="00B46B79">
            <w:pPr>
              <w:rPr>
                <w:b/>
              </w:rPr>
            </w:pPr>
          </w:p>
        </w:tc>
      </w:tr>
      <w:tr w:rsidR="00715765" w:rsidRPr="006E3B47" w:rsidTr="00B46B79">
        <w:trPr>
          <w:trHeight w:val="315"/>
        </w:trPr>
        <w:tc>
          <w:tcPr>
            <w:tcW w:w="1896" w:type="dxa"/>
            <w:gridSpan w:val="2"/>
          </w:tcPr>
          <w:p w:rsidR="00715765" w:rsidRDefault="00715765" w:rsidP="00715765">
            <w:pPr>
              <w:rPr>
                <w:color w:val="000000"/>
              </w:rPr>
            </w:pPr>
            <w:r>
              <w:rPr>
                <w:color w:val="000000"/>
                <w:sz w:val="22"/>
                <w:szCs w:val="22"/>
              </w:rPr>
              <w:t>Parametry Szafy</w:t>
            </w:r>
          </w:p>
        </w:tc>
        <w:tc>
          <w:tcPr>
            <w:tcW w:w="5696" w:type="dxa"/>
            <w:gridSpan w:val="2"/>
          </w:tcPr>
          <w:p w:rsidR="00715765" w:rsidRDefault="00715765" w:rsidP="00715765">
            <w:pPr>
              <w:numPr>
                <w:ilvl w:val="0"/>
                <w:numId w:val="12"/>
              </w:numPr>
              <w:spacing w:line="256" w:lineRule="auto"/>
              <w:ind w:left="357" w:hanging="357"/>
            </w:pPr>
            <w:r>
              <w:t>Rozmiar: 42U,</w:t>
            </w:r>
          </w:p>
          <w:p w:rsidR="00715765" w:rsidRDefault="00715765" w:rsidP="00715765">
            <w:pPr>
              <w:numPr>
                <w:ilvl w:val="0"/>
                <w:numId w:val="12"/>
              </w:numPr>
              <w:spacing w:line="256" w:lineRule="auto"/>
              <w:ind w:left="357" w:hanging="357"/>
            </w:pPr>
            <w:r>
              <w:t>szerokość</w:t>
            </w:r>
            <w:r>
              <w:tab/>
              <w:t>800,00mm,</w:t>
            </w:r>
          </w:p>
          <w:p w:rsidR="00715765" w:rsidRDefault="00715765" w:rsidP="00715765">
            <w:pPr>
              <w:numPr>
                <w:ilvl w:val="0"/>
                <w:numId w:val="12"/>
              </w:numPr>
              <w:spacing w:line="256" w:lineRule="auto"/>
              <w:ind w:left="357" w:hanging="357"/>
            </w:pPr>
            <w:r>
              <w:t>głębokość</w:t>
            </w:r>
            <w:r>
              <w:tab/>
              <w:t>1000,00mm,</w:t>
            </w:r>
          </w:p>
          <w:p w:rsidR="00715765" w:rsidRDefault="00715765" w:rsidP="00715765">
            <w:pPr>
              <w:numPr>
                <w:ilvl w:val="0"/>
                <w:numId w:val="11"/>
              </w:numPr>
              <w:spacing w:line="256" w:lineRule="auto"/>
              <w:ind w:left="357" w:hanging="357"/>
            </w:pPr>
            <w:r>
              <w:t xml:space="preserve">Konstrukcja spawana z blachy stalowej, </w:t>
            </w:r>
          </w:p>
          <w:p w:rsidR="00715765" w:rsidRDefault="00715765" w:rsidP="00715765">
            <w:pPr>
              <w:numPr>
                <w:ilvl w:val="0"/>
                <w:numId w:val="11"/>
              </w:numPr>
              <w:spacing w:line="256" w:lineRule="auto"/>
              <w:ind w:left="357" w:hanging="357"/>
            </w:pPr>
            <w:r>
              <w:t>Zamykana na zamek.</w:t>
            </w:r>
          </w:p>
        </w:tc>
        <w:tc>
          <w:tcPr>
            <w:tcW w:w="1948" w:type="dxa"/>
          </w:tcPr>
          <w:p w:rsidR="00715765" w:rsidRPr="00452DEB" w:rsidRDefault="00715765" w:rsidP="00715765">
            <w:pPr>
              <w:rPr>
                <w:b/>
              </w:rPr>
            </w:pPr>
          </w:p>
        </w:tc>
      </w:tr>
      <w:tr w:rsidR="00715765" w:rsidRPr="006E3B47" w:rsidTr="00B46B79">
        <w:trPr>
          <w:trHeight w:val="315"/>
        </w:trPr>
        <w:tc>
          <w:tcPr>
            <w:tcW w:w="1896" w:type="dxa"/>
            <w:gridSpan w:val="2"/>
          </w:tcPr>
          <w:p w:rsidR="00715765" w:rsidRDefault="00715765" w:rsidP="00715765">
            <w:pPr>
              <w:rPr>
                <w:color w:val="000000"/>
              </w:rPr>
            </w:pPr>
            <w:r>
              <w:rPr>
                <w:color w:val="000000"/>
                <w:sz w:val="22"/>
                <w:szCs w:val="22"/>
              </w:rPr>
              <w:t>Parametry półki</w:t>
            </w:r>
          </w:p>
        </w:tc>
        <w:tc>
          <w:tcPr>
            <w:tcW w:w="5696" w:type="dxa"/>
            <w:gridSpan w:val="2"/>
          </w:tcPr>
          <w:p w:rsidR="00715765" w:rsidRDefault="00715765" w:rsidP="00715765">
            <w:pPr>
              <w:rPr>
                <w:color w:val="000000"/>
              </w:rPr>
            </w:pPr>
            <w:r>
              <w:rPr>
                <w:color w:val="000000"/>
                <w:sz w:val="22"/>
                <w:szCs w:val="22"/>
              </w:rPr>
              <w:t>3 półki 19 cali serwerowe</w:t>
            </w:r>
          </w:p>
        </w:tc>
        <w:tc>
          <w:tcPr>
            <w:tcW w:w="1948" w:type="dxa"/>
          </w:tcPr>
          <w:p w:rsidR="00715765" w:rsidRPr="00452DEB" w:rsidRDefault="00715765" w:rsidP="00715765">
            <w:pPr>
              <w:rPr>
                <w:b/>
              </w:rPr>
            </w:pPr>
          </w:p>
        </w:tc>
      </w:tr>
      <w:tr w:rsidR="00715765" w:rsidRPr="006E3B47" w:rsidTr="00B46B79">
        <w:trPr>
          <w:trHeight w:val="315"/>
        </w:trPr>
        <w:tc>
          <w:tcPr>
            <w:tcW w:w="1896" w:type="dxa"/>
            <w:gridSpan w:val="2"/>
          </w:tcPr>
          <w:p w:rsidR="00715765" w:rsidRDefault="00715765" w:rsidP="00715765">
            <w:pPr>
              <w:rPr>
                <w:color w:val="000000"/>
              </w:rPr>
            </w:pPr>
            <w:r>
              <w:rPr>
                <w:color w:val="000000"/>
                <w:sz w:val="22"/>
                <w:szCs w:val="22"/>
              </w:rPr>
              <w:t>Parametry listwy zasilającej</w:t>
            </w:r>
          </w:p>
        </w:tc>
        <w:tc>
          <w:tcPr>
            <w:tcW w:w="5696" w:type="dxa"/>
            <w:gridSpan w:val="2"/>
          </w:tcPr>
          <w:p w:rsidR="00715765" w:rsidRDefault="00715765" w:rsidP="00715765">
            <w:pPr>
              <w:rPr>
                <w:color w:val="000000"/>
              </w:rPr>
            </w:pPr>
            <w:r>
              <w:rPr>
                <w:color w:val="000000"/>
                <w:sz w:val="22"/>
                <w:szCs w:val="22"/>
              </w:rPr>
              <w:t>Listwa zasilająca do szafy 19” posiadająca nie mniej niż 8 gniazd, długość kabla nie mniej niż 5m zakończony wtykiem DIN49441</w:t>
            </w:r>
          </w:p>
        </w:tc>
        <w:tc>
          <w:tcPr>
            <w:tcW w:w="1948" w:type="dxa"/>
          </w:tcPr>
          <w:p w:rsidR="00715765" w:rsidRPr="00452DEB" w:rsidRDefault="00715765" w:rsidP="00715765">
            <w:pPr>
              <w:rPr>
                <w:b/>
              </w:rPr>
            </w:pPr>
          </w:p>
        </w:tc>
      </w:tr>
      <w:tr w:rsidR="00715765" w:rsidRPr="002D1AF5" w:rsidTr="00B46B79">
        <w:trPr>
          <w:trHeight w:val="315"/>
        </w:trPr>
        <w:tc>
          <w:tcPr>
            <w:tcW w:w="1896" w:type="dxa"/>
            <w:gridSpan w:val="2"/>
          </w:tcPr>
          <w:p w:rsidR="00715765" w:rsidRDefault="00715765" w:rsidP="00715765">
            <w:pPr>
              <w:rPr>
                <w:color w:val="000000"/>
              </w:rPr>
            </w:pPr>
            <w:r>
              <w:rPr>
                <w:color w:val="000000"/>
                <w:sz w:val="22"/>
                <w:szCs w:val="22"/>
              </w:rPr>
              <w:t>Gwarancja</w:t>
            </w:r>
          </w:p>
        </w:tc>
        <w:tc>
          <w:tcPr>
            <w:tcW w:w="5696" w:type="dxa"/>
            <w:gridSpan w:val="2"/>
          </w:tcPr>
          <w:p w:rsidR="00715765" w:rsidRDefault="00715765" w:rsidP="00715765">
            <w:pPr>
              <w:rPr>
                <w:color w:val="000000"/>
              </w:rPr>
            </w:pPr>
            <w:r>
              <w:rPr>
                <w:color w:val="000000"/>
                <w:sz w:val="22"/>
                <w:szCs w:val="22"/>
              </w:rPr>
              <w:t>Nie krótsza niż 12 miesięcy</w:t>
            </w:r>
          </w:p>
        </w:tc>
        <w:tc>
          <w:tcPr>
            <w:tcW w:w="1948" w:type="dxa"/>
          </w:tcPr>
          <w:p w:rsidR="00715765" w:rsidRPr="002D1AF5" w:rsidRDefault="00715765" w:rsidP="00715765">
            <w:pPr>
              <w:rPr>
                <w:b/>
              </w:rPr>
            </w:pPr>
          </w:p>
        </w:tc>
      </w:tr>
      <w:tr w:rsidR="00715765" w:rsidRPr="002D1AF5" w:rsidTr="00B46B79">
        <w:trPr>
          <w:trHeight w:val="315"/>
        </w:trPr>
        <w:tc>
          <w:tcPr>
            <w:tcW w:w="1896" w:type="dxa"/>
            <w:gridSpan w:val="2"/>
          </w:tcPr>
          <w:p w:rsidR="00715765" w:rsidRPr="00CA2A46" w:rsidRDefault="00715765" w:rsidP="00715765">
            <w:pPr>
              <w:spacing w:before="100" w:beforeAutospacing="1" w:after="119"/>
            </w:pPr>
            <w:r w:rsidRPr="00CA2A46">
              <w:t>Kąty widzenia pion/poziom</w:t>
            </w:r>
          </w:p>
        </w:tc>
        <w:tc>
          <w:tcPr>
            <w:tcW w:w="5696" w:type="dxa"/>
            <w:gridSpan w:val="2"/>
          </w:tcPr>
          <w:p w:rsidR="00715765" w:rsidRPr="00CA2A46" w:rsidRDefault="00715765" w:rsidP="00715765">
            <w:pPr>
              <w:spacing w:before="100" w:beforeAutospacing="1" w:after="119"/>
            </w:pPr>
            <w:r w:rsidRPr="00CA2A46">
              <w:t>Nie mniej niż 178/178 pion/poziom</w:t>
            </w:r>
          </w:p>
        </w:tc>
        <w:tc>
          <w:tcPr>
            <w:tcW w:w="1948" w:type="dxa"/>
          </w:tcPr>
          <w:p w:rsidR="00715765" w:rsidRPr="002D1AF5" w:rsidRDefault="00715765" w:rsidP="00715765">
            <w:pPr>
              <w:rPr>
                <w:b/>
              </w:rPr>
            </w:pPr>
          </w:p>
        </w:tc>
      </w:tr>
      <w:tr w:rsidR="00715765" w:rsidRPr="002D1AF5" w:rsidTr="00B46B79">
        <w:trPr>
          <w:trHeight w:val="547"/>
        </w:trPr>
        <w:tc>
          <w:tcPr>
            <w:tcW w:w="1896" w:type="dxa"/>
            <w:gridSpan w:val="2"/>
          </w:tcPr>
          <w:p w:rsidR="00715765" w:rsidRPr="00CA2A46" w:rsidRDefault="00715765" w:rsidP="00715765">
            <w:pPr>
              <w:spacing w:before="100" w:beforeAutospacing="1" w:after="119"/>
            </w:pPr>
            <w:r w:rsidRPr="00CA2A46">
              <w:t>Gniazda</w:t>
            </w:r>
          </w:p>
        </w:tc>
        <w:tc>
          <w:tcPr>
            <w:tcW w:w="5696" w:type="dxa"/>
            <w:gridSpan w:val="2"/>
          </w:tcPr>
          <w:p w:rsidR="00715765" w:rsidRPr="00CA2A46" w:rsidRDefault="00715765" w:rsidP="00715765">
            <w:pPr>
              <w:spacing w:before="100" w:beforeAutospacing="1" w:after="119"/>
            </w:pPr>
            <w:r w:rsidRPr="00CA2A46">
              <w:t xml:space="preserve">Nie mniej niż po 1 szt.: </w:t>
            </w:r>
            <w:proofErr w:type="spellStart"/>
            <w:r w:rsidRPr="00CA2A46">
              <w:t>VGA,DVI-D,HDMI,Wyjście</w:t>
            </w:r>
            <w:proofErr w:type="spellEnd"/>
            <w:r w:rsidRPr="00CA2A46">
              <w:t xml:space="preserve"> na słuchawki</w:t>
            </w:r>
          </w:p>
        </w:tc>
        <w:tc>
          <w:tcPr>
            <w:tcW w:w="1948" w:type="dxa"/>
          </w:tcPr>
          <w:p w:rsidR="00715765" w:rsidRPr="002D1AF5" w:rsidRDefault="00715765" w:rsidP="00715765">
            <w:pPr>
              <w:rPr>
                <w:b/>
              </w:rPr>
            </w:pPr>
          </w:p>
        </w:tc>
      </w:tr>
      <w:tr w:rsidR="00715765" w:rsidRPr="006E3B47" w:rsidTr="00B46B79">
        <w:trPr>
          <w:trHeight w:val="315"/>
        </w:trPr>
        <w:tc>
          <w:tcPr>
            <w:tcW w:w="1896" w:type="dxa"/>
            <w:gridSpan w:val="2"/>
          </w:tcPr>
          <w:p w:rsidR="00715765" w:rsidRPr="00CA2A46" w:rsidRDefault="00715765" w:rsidP="00715765">
            <w:pPr>
              <w:spacing w:before="100" w:beforeAutospacing="1" w:after="119"/>
            </w:pPr>
            <w:r w:rsidRPr="00CA2A46">
              <w:t>Jasność</w:t>
            </w:r>
          </w:p>
        </w:tc>
        <w:tc>
          <w:tcPr>
            <w:tcW w:w="5696" w:type="dxa"/>
            <w:gridSpan w:val="2"/>
          </w:tcPr>
          <w:p w:rsidR="00715765" w:rsidRPr="00CA2A46" w:rsidRDefault="00715765" w:rsidP="00715765">
            <w:pPr>
              <w:spacing w:before="100" w:beforeAutospacing="1" w:after="119"/>
            </w:pPr>
            <w:r w:rsidRPr="00CA2A46">
              <w:t xml:space="preserve">Co najmniej 250 </w:t>
            </w:r>
            <w:proofErr w:type="spellStart"/>
            <w:r w:rsidRPr="00CA2A46">
              <w:t>cd</w:t>
            </w:r>
            <w:proofErr w:type="spellEnd"/>
            <w:r w:rsidRPr="00CA2A46">
              <w:t>/m2</w:t>
            </w:r>
          </w:p>
        </w:tc>
        <w:tc>
          <w:tcPr>
            <w:tcW w:w="1948" w:type="dxa"/>
          </w:tcPr>
          <w:p w:rsidR="00715765" w:rsidRPr="00452DEB" w:rsidRDefault="00715765" w:rsidP="00715765">
            <w:pPr>
              <w:rPr>
                <w:b/>
              </w:rPr>
            </w:pPr>
          </w:p>
        </w:tc>
      </w:tr>
      <w:tr w:rsidR="00715765" w:rsidRPr="006E3B47" w:rsidTr="00B46B79">
        <w:trPr>
          <w:trHeight w:val="315"/>
        </w:trPr>
        <w:tc>
          <w:tcPr>
            <w:tcW w:w="1896" w:type="dxa"/>
            <w:gridSpan w:val="2"/>
          </w:tcPr>
          <w:p w:rsidR="00715765" w:rsidRPr="00CA2A46" w:rsidRDefault="00715765" w:rsidP="00715765">
            <w:pPr>
              <w:spacing w:before="100" w:beforeAutospacing="1" w:after="119"/>
            </w:pPr>
            <w:r w:rsidRPr="00CA2A46">
              <w:t>Kontrast statyczny</w:t>
            </w:r>
          </w:p>
        </w:tc>
        <w:tc>
          <w:tcPr>
            <w:tcW w:w="5696" w:type="dxa"/>
            <w:gridSpan w:val="2"/>
          </w:tcPr>
          <w:p w:rsidR="00715765" w:rsidRPr="00CA2A46" w:rsidRDefault="00715765" w:rsidP="00715765">
            <w:pPr>
              <w:spacing w:before="100" w:beforeAutospacing="1" w:after="119"/>
            </w:pPr>
            <w:r w:rsidRPr="00CA2A46">
              <w:t>Nie mniejszy niż 1000:1</w:t>
            </w:r>
          </w:p>
        </w:tc>
        <w:tc>
          <w:tcPr>
            <w:tcW w:w="1948" w:type="dxa"/>
          </w:tcPr>
          <w:p w:rsidR="00715765" w:rsidRPr="007F63C3" w:rsidRDefault="00715765" w:rsidP="00715765">
            <w:pPr>
              <w:rPr>
                <w:b/>
              </w:rPr>
            </w:pPr>
          </w:p>
        </w:tc>
      </w:tr>
      <w:tr w:rsidR="00715765" w:rsidRPr="006E3B47" w:rsidTr="00B46B79">
        <w:trPr>
          <w:trHeight w:val="315"/>
        </w:trPr>
        <w:tc>
          <w:tcPr>
            <w:tcW w:w="1896" w:type="dxa"/>
            <w:gridSpan w:val="2"/>
          </w:tcPr>
          <w:p w:rsidR="00715765" w:rsidRPr="00CA2A46" w:rsidRDefault="00715765" w:rsidP="00715765">
            <w:pPr>
              <w:spacing w:before="100" w:beforeAutospacing="1" w:after="119"/>
            </w:pPr>
            <w:r w:rsidRPr="00CA2A46">
              <w:t>Czas reakcji</w:t>
            </w:r>
          </w:p>
        </w:tc>
        <w:tc>
          <w:tcPr>
            <w:tcW w:w="5696" w:type="dxa"/>
            <w:gridSpan w:val="2"/>
          </w:tcPr>
          <w:p w:rsidR="00715765" w:rsidRPr="00CA2A46" w:rsidRDefault="00715765" w:rsidP="00715765">
            <w:pPr>
              <w:spacing w:before="100" w:beforeAutospacing="1" w:after="119"/>
            </w:pPr>
            <w:r w:rsidRPr="00CA2A46">
              <w:t xml:space="preserve">Nie dłuższy niż 5 </w:t>
            </w:r>
            <w:proofErr w:type="spellStart"/>
            <w:r w:rsidRPr="00CA2A46">
              <w:t>ms</w:t>
            </w:r>
            <w:proofErr w:type="spellEnd"/>
            <w:r w:rsidRPr="00CA2A46">
              <w:t xml:space="preserve"> (szarości)</w:t>
            </w:r>
          </w:p>
        </w:tc>
        <w:tc>
          <w:tcPr>
            <w:tcW w:w="1948" w:type="dxa"/>
          </w:tcPr>
          <w:p w:rsidR="00715765" w:rsidRPr="00452DEB" w:rsidRDefault="00715765" w:rsidP="00715765">
            <w:pPr>
              <w:rPr>
                <w:b/>
              </w:rPr>
            </w:pPr>
          </w:p>
        </w:tc>
      </w:tr>
      <w:tr w:rsidR="00715765" w:rsidRPr="006E3B47" w:rsidTr="00B46B79">
        <w:trPr>
          <w:trHeight w:val="315"/>
        </w:trPr>
        <w:tc>
          <w:tcPr>
            <w:tcW w:w="1896" w:type="dxa"/>
            <w:gridSpan w:val="2"/>
          </w:tcPr>
          <w:p w:rsidR="00715765" w:rsidRPr="00CA2A46" w:rsidRDefault="00715765" w:rsidP="00715765">
            <w:pPr>
              <w:spacing w:before="100" w:beforeAutospacing="1" w:after="119"/>
            </w:pPr>
            <w:r w:rsidRPr="00CA2A46">
              <w:t>Inne</w:t>
            </w:r>
          </w:p>
        </w:tc>
        <w:tc>
          <w:tcPr>
            <w:tcW w:w="5696" w:type="dxa"/>
            <w:gridSpan w:val="2"/>
          </w:tcPr>
          <w:p w:rsidR="00715765" w:rsidRPr="00CA2A46" w:rsidRDefault="00715765" w:rsidP="00715765">
            <w:pPr>
              <w:spacing w:before="100" w:beforeAutospacing="1" w:after="119"/>
            </w:pPr>
            <w:r w:rsidRPr="00CA2A46">
              <w:t>Wyposażony w technologię zmniejszającą emisję szkodliwego promieniowania niebieskiego</w:t>
            </w:r>
          </w:p>
        </w:tc>
        <w:tc>
          <w:tcPr>
            <w:tcW w:w="1948" w:type="dxa"/>
          </w:tcPr>
          <w:p w:rsidR="00715765" w:rsidRPr="007F63C3" w:rsidRDefault="00715765" w:rsidP="00715765">
            <w:pPr>
              <w:rPr>
                <w:b/>
              </w:rPr>
            </w:pPr>
          </w:p>
        </w:tc>
      </w:tr>
      <w:tr w:rsidR="00715765" w:rsidRPr="006E3B47" w:rsidTr="00B46B79">
        <w:trPr>
          <w:trHeight w:val="315"/>
        </w:trPr>
        <w:tc>
          <w:tcPr>
            <w:tcW w:w="1826" w:type="dxa"/>
          </w:tcPr>
          <w:p w:rsidR="00715765" w:rsidRPr="00CA2A46" w:rsidRDefault="00715765" w:rsidP="00715765">
            <w:pPr>
              <w:spacing w:before="100" w:beforeAutospacing="1" w:after="119"/>
            </w:pPr>
            <w:r w:rsidRPr="00CA2A46">
              <w:t>Gwarancja</w:t>
            </w:r>
          </w:p>
        </w:tc>
        <w:tc>
          <w:tcPr>
            <w:tcW w:w="5745" w:type="dxa"/>
            <w:gridSpan w:val="2"/>
          </w:tcPr>
          <w:p w:rsidR="00715765" w:rsidRPr="00CA2A46" w:rsidRDefault="00715765" w:rsidP="00715765">
            <w:pPr>
              <w:spacing w:before="100" w:beforeAutospacing="1" w:after="119"/>
            </w:pPr>
            <w:r w:rsidRPr="00CA2A46">
              <w:t>Gwarancja pisemna nie krótsza niż 24 miesiące.</w:t>
            </w:r>
          </w:p>
        </w:tc>
        <w:tc>
          <w:tcPr>
            <w:tcW w:w="1969" w:type="dxa"/>
            <w:gridSpan w:val="2"/>
          </w:tcPr>
          <w:p w:rsidR="00715765" w:rsidRPr="00452DEB" w:rsidRDefault="00715765" w:rsidP="00715765">
            <w:pPr>
              <w:rPr>
                <w:b/>
              </w:rPr>
            </w:pPr>
          </w:p>
        </w:tc>
      </w:tr>
    </w:tbl>
    <w:p w:rsidR="00B46B79" w:rsidRDefault="00B46B79" w:rsidP="00B46B79">
      <w:pPr>
        <w:spacing w:line="360" w:lineRule="auto"/>
        <w:rPr>
          <w:b/>
          <w:color w:val="000000"/>
        </w:rPr>
      </w:pPr>
      <w:r>
        <w:rPr>
          <w:b/>
          <w:color w:val="000000"/>
        </w:rPr>
        <w:t>Cena  brutto jednostkowa</w:t>
      </w:r>
    </w:p>
    <w:p w:rsidR="00B46B79" w:rsidRDefault="00715765" w:rsidP="00B46B79">
      <w:pPr>
        <w:spacing w:line="360" w:lineRule="auto"/>
        <w:rPr>
          <w:b/>
          <w:color w:val="000000"/>
        </w:rPr>
      </w:pPr>
      <w:r>
        <w:rPr>
          <w:b/>
          <w:color w:val="000000"/>
        </w:rPr>
        <w:t>Część 5</w:t>
      </w:r>
      <w:r w:rsidR="00B46B79">
        <w:rPr>
          <w:b/>
          <w:color w:val="000000"/>
        </w:rPr>
        <w:t>.1:……………………………………………………………</w:t>
      </w:r>
    </w:p>
    <w:p w:rsidR="00B46B79" w:rsidRDefault="00B46B79" w:rsidP="00B46B79">
      <w:pPr>
        <w:spacing w:line="360" w:lineRule="auto"/>
        <w:rPr>
          <w:b/>
          <w:color w:val="000000"/>
        </w:rPr>
      </w:pPr>
      <w:r>
        <w:rPr>
          <w:b/>
          <w:color w:val="000000"/>
        </w:rPr>
        <w:t>Wartość brutto:…………………………………………………….</w:t>
      </w:r>
    </w:p>
    <w:p w:rsidR="00B46B79" w:rsidRDefault="00B46B79" w:rsidP="00B46B79">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715765">
        <w:rPr>
          <w:b/>
          <w:color w:val="000000"/>
          <w:u w:val="single"/>
        </w:rPr>
        <w:t xml:space="preserve"> 5</w:t>
      </w:r>
    </w:p>
    <w:p w:rsidR="00B46B79" w:rsidRDefault="00B46B79" w:rsidP="00B46B79">
      <w:pPr>
        <w:spacing w:line="360" w:lineRule="auto"/>
        <w:rPr>
          <w:b/>
          <w:color w:val="000000"/>
          <w:u w:val="single"/>
        </w:rPr>
      </w:pPr>
    </w:p>
    <w:p w:rsidR="00B46B79" w:rsidRPr="00D73096" w:rsidRDefault="00B46B79" w:rsidP="00B46B79">
      <w:pPr>
        <w:spacing w:line="360" w:lineRule="auto"/>
        <w:rPr>
          <w:b/>
          <w:color w:val="000000"/>
          <w:u w:val="single"/>
        </w:rPr>
      </w:pPr>
      <w:r>
        <w:rPr>
          <w:b/>
          <w:color w:val="000000"/>
          <w:u w:val="single"/>
        </w:rPr>
        <w:t>……………………………………………</w:t>
      </w: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w:t>
      </w:r>
      <w:proofErr w:type="spellStart"/>
      <w:r w:rsidRPr="00947E11">
        <w:rPr>
          <w:sz w:val="28"/>
          <w:szCs w:val="28"/>
        </w:rPr>
        <w:t>zamówienia</w:t>
      </w:r>
      <w:proofErr w:type="spellEnd"/>
      <w:r w:rsidRPr="00947E11">
        <w:rPr>
          <w:sz w:val="28"/>
          <w:szCs w:val="28"/>
        </w:rPr>
        <w:t xml:space="preserve"> publicznego nr </w:t>
      </w:r>
      <w:r w:rsidR="00B46B79">
        <w:rPr>
          <w:sz w:val="28"/>
          <w:szCs w:val="28"/>
        </w:rPr>
        <w:t>KZP/11</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 xml:space="preserve">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xml:space="preserve">  wykonawcę, który w wyniku lekkomyślności lub niedbalstwa przedstawił informacje wprowadzające w błąd zamawiającego, mogące mieć istotny wpływ na decyzje podejmowane przez zamawiającego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xml:space="preserve">  wykonawcę, który bezprawnie wpływał lub próbował wpłynąć na czynności zamawiającego lub pozyskać informacje poufne, mogące dać mu przewagę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w:t>
      </w:r>
      <w:proofErr w:type="spellStart"/>
      <w:r w:rsidR="00822AB0" w:rsidRPr="00D470B3">
        <w:rPr>
          <w:b/>
          <w:bCs/>
          <w:color w:val="141412"/>
        </w:rPr>
        <w:t>zamówienia</w:t>
      </w:r>
      <w:proofErr w:type="spellEnd"/>
      <w:r w:rsidR="00822AB0" w:rsidRPr="00D470B3">
        <w:rPr>
          <w:b/>
          <w:bCs/>
          <w:color w:val="141412"/>
        </w:rPr>
        <w:t xml:space="preserve">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w:t>
      </w:r>
      <w:proofErr w:type="spellStart"/>
      <w:r w:rsidR="00822AB0" w:rsidRPr="00D470B3">
        <w:rPr>
          <w:b/>
          <w:bCs/>
          <w:color w:val="141412"/>
        </w:rPr>
        <w:t>zamówienia</w:t>
      </w:r>
      <w:proofErr w:type="spellEnd"/>
      <w:r w:rsidR="00822AB0" w:rsidRPr="00D470B3">
        <w:rPr>
          <w:b/>
          <w:bCs/>
          <w:color w:val="141412"/>
        </w:rPr>
        <w:t>,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xml:space="preserve">  wykonawcę będącego podmiotem zbiorowym, wobec którego sąd orzekł zakaz ubiegania się o </w:t>
      </w:r>
      <w:proofErr w:type="spellStart"/>
      <w:r w:rsidR="00822AB0" w:rsidRPr="00D470B3">
        <w:rPr>
          <w:b/>
          <w:bCs/>
          <w:color w:val="141412"/>
        </w:rPr>
        <w:t>zamówienia</w:t>
      </w:r>
      <w:proofErr w:type="spellEnd"/>
      <w:r w:rsidR="00822AB0" w:rsidRPr="00D470B3">
        <w:rPr>
          <w:b/>
          <w:bCs/>
          <w:color w:val="141412"/>
        </w:rPr>
        <w:t xml:space="preserve">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w:t>
      </w:r>
      <w:proofErr w:type="spellStart"/>
      <w:r w:rsidR="00822AB0" w:rsidRPr="00D470B3">
        <w:rPr>
          <w:b/>
          <w:bCs/>
          <w:color w:val="141412"/>
        </w:rPr>
        <w:t>zamówienia</w:t>
      </w:r>
      <w:proofErr w:type="spellEnd"/>
      <w:r w:rsidR="00822AB0" w:rsidRPr="00D470B3">
        <w:rPr>
          <w:b/>
          <w:bCs/>
          <w:color w:val="141412"/>
        </w:rPr>
        <w:t xml:space="preserve">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 xml:space="preserve">nie prowadzą do zakłócenia konkurencji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4.  który, z przyczyn leżących po jego stronie, nie wykonał albo nienależycie wykonał w istotnym stopniu wcześniejszą umowę w sprawie </w:t>
      </w:r>
      <w:proofErr w:type="spellStart"/>
      <w:r w:rsidRPr="00D470B3">
        <w:rPr>
          <w:b/>
          <w:bCs/>
          <w:color w:val="141412"/>
        </w:rPr>
        <w:t>zamówienia</w:t>
      </w:r>
      <w:proofErr w:type="spellEnd"/>
      <w:r w:rsidRPr="00D470B3">
        <w:rPr>
          <w:b/>
          <w:bCs/>
          <w:color w:val="141412"/>
        </w:rPr>
        <w:t xml:space="preserve">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proofErr w:type="spellStart"/>
      <w:r w:rsidRPr="00470497">
        <w:rPr>
          <w:b/>
        </w:rPr>
        <w:t>zamówienia</w:t>
      </w:r>
      <w:proofErr w:type="spellEnd"/>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 xml:space="preserve">nie zachodzą podstawy wykluczenia z postępowania o udzielenie </w:t>
      </w:r>
      <w:proofErr w:type="spellStart"/>
      <w:r w:rsidRPr="00470497">
        <w:rPr>
          <w:b/>
        </w:rPr>
        <w:t>zamówienia</w:t>
      </w:r>
      <w:proofErr w:type="spellEnd"/>
      <w:r w:rsidRPr="00470497">
        <w:rPr>
          <w:b/>
        </w:rPr>
        <w:t>.</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 xml:space="preserve">Nazwa (firma) Wykonawcy albo Wykonawców ubiegających się wspólnie o udzielenie </w:t>
      </w:r>
      <w:proofErr w:type="spellStart"/>
      <w:r>
        <w:rPr>
          <w:rFonts w:ascii="Garamond" w:eastAsia="Garamond" w:hAnsi="Garamond"/>
          <w:sz w:val="19"/>
        </w:rPr>
        <w:t>zamówienia</w:t>
      </w:r>
      <w:proofErr w:type="spellEnd"/>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 xml:space="preserve">(nazwa /firma/ i adres Wykonawcy/ Wykonawców wspólnie ubiegających się o udzielenie </w:t>
      </w:r>
      <w:proofErr w:type="spellStart"/>
      <w:r w:rsidRPr="00B65BE8">
        <w:rPr>
          <w:rFonts w:eastAsia="Garamond"/>
          <w:i/>
        </w:rPr>
        <w:t>zamówienia</w:t>
      </w:r>
      <w:proofErr w:type="spellEnd"/>
      <w:r w:rsidRPr="00B65BE8">
        <w:rPr>
          <w:rFonts w:eastAsia="Garamond"/>
          <w:i/>
        </w:rPr>
        <w:t>)</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Na dostawę sprzętu komputerowego</w:t>
      </w:r>
    </w:p>
    <w:p w:rsidR="00D06075" w:rsidRPr="00B65BE8" w:rsidRDefault="0026499F" w:rsidP="00D06075">
      <w:pPr>
        <w:jc w:val="center"/>
      </w:pPr>
      <w:r>
        <w:t>KZP/11</w:t>
      </w:r>
      <w:r w:rsidR="003F34D3">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 xml:space="preserve">Oświadczam, że wypełniłem obowiązki informacyjne przewidziane w art. 13 lub art. 14 RODO1) wobec osób fizycznych, od których dane osobowe bezpośrednio lub pośrednio pozyskałem w celu ubiegania się o udzielenie </w:t>
      </w:r>
      <w:proofErr w:type="spellStart"/>
      <w:r>
        <w:t>zamówienia</w:t>
      </w:r>
      <w:proofErr w:type="spellEnd"/>
      <w:r>
        <w:t xml:space="preserve">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2E9" w:rsidRDefault="007722E9">
      <w:r>
        <w:separator/>
      </w:r>
    </w:p>
  </w:endnote>
  <w:endnote w:type="continuationSeparator" w:id="0">
    <w:p w:rsidR="007722E9" w:rsidRDefault="007722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KZP/11/2020</w:t>
    </w:r>
  </w:p>
  <w:p w:rsidR="00B46B79" w:rsidRDefault="00B46B79">
    <w:pPr>
      <w:pStyle w:val="Stopka"/>
      <w:jc w:val="center"/>
    </w:pPr>
  </w:p>
  <w:p w:rsidR="00B46B79" w:rsidRDefault="00B46B79">
    <w:pPr>
      <w:pStyle w:val="Stopka"/>
      <w:jc w:val="center"/>
    </w:pPr>
    <w:r>
      <w:t xml:space="preserve">strona </w:t>
    </w:r>
    <w:r w:rsidR="00CB3DC8">
      <w:rPr>
        <w:rStyle w:val="Numerstrony"/>
      </w:rPr>
      <w:fldChar w:fldCharType="begin"/>
    </w:r>
    <w:r>
      <w:rPr>
        <w:rStyle w:val="Numerstrony"/>
      </w:rPr>
      <w:instrText xml:space="preserve"> PAGE </w:instrText>
    </w:r>
    <w:r w:rsidR="00CB3DC8">
      <w:rPr>
        <w:rStyle w:val="Numerstrony"/>
      </w:rPr>
      <w:fldChar w:fldCharType="separate"/>
    </w:r>
    <w:r w:rsidR="0026499F">
      <w:rPr>
        <w:rStyle w:val="Numerstrony"/>
        <w:noProof/>
      </w:rPr>
      <w:t>16</w:t>
    </w:r>
    <w:r w:rsidR="00CB3DC8">
      <w:rPr>
        <w:rStyle w:val="Numerstrony"/>
      </w:rPr>
      <w:fldChar w:fldCharType="end"/>
    </w:r>
    <w:r>
      <w:rPr>
        <w:rStyle w:val="Numerstrony"/>
      </w:rPr>
      <w:t>/</w:t>
    </w:r>
    <w:r w:rsidR="00CB3DC8">
      <w:rPr>
        <w:rStyle w:val="Numerstrony"/>
      </w:rPr>
      <w:fldChar w:fldCharType="begin"/>
    </w:r>
    <w:r>
      <w:rPr>
        <w:rStyle w:val="Numerstrony"/>
      </w:rPr>
      <w:instrText xml:space="preserve"> NUMPAGES </w:instrText>
    </w:r>
    <w:r w:rsidR="00CB3DC8">
      <w:rPr>
        <w:rStyle w:val="Numerstrony"/>
      </w:rPr>
      <w:fldChar w:fldCharType="separate"/>
    </w:r>
    <w:r w:rsidR="0026499F">
      <w:rPr>
        <w:rStyle w:val="Numerstrony"/>
        <w:noProof/>
      </w:rPr>
      <w:t>16</w:t>
    </w:r>
    <w:r w:rsidR="00CB3DC8">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2E9" w:rsidRDefault="007722E9">
      <w:r>
        <w:separator/>
      </w:r>
    </w:p>
  </w:footnote>
  <w:footnote w:type="continuationSeparator" w:id="0">
    <w:p w:rsidR="007722E9" w:rsidRDefault="00772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6499F"/>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22E9"/>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3DC8"/>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40381-1A81-4355-81AF-DD1F25E2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3574</Words>
  <Characters>21447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2</cp:revision>
  <cp:lastPrinted>2015-10-27T09:08:00Z</cp:lastPrinted>
  <dcterms:created xsi:type="dcterms:W3CDTF">2020-11-02T07:59:00Z</dcterms:created>
  <dcterms:modified xsi:type="dcterms:W3CDTF">2020-11-02T07:59:00Z</dcterms:modified>
</cp:coreProperties>
</file>