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6B6030">
      <w:pPr>
        <w:jc w:val="center"/>
        <w:rPr>
          <w:color w:val="000000"/>
        </w:rPr>
      </w:pPr>
      <w:r>
        <w:rPr>
          <w:color w:val="000000"/>
        </w:rPr>
        <w:t>przenośnego analizatora widma</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6B6030">
        <w:rPr>
          <w:color w:val="000000"/>
          <w:sz w:val="24"/>
        </w:rPr>
        <w:t>2</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80387F">
        <w:rPr>
          <w:color w:val="000000"/>
        </w:rPr>
        <w:t>tygodni</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r>
        <w:rPr>
          <w:color w:val="000000"/>
        </w:rPr>
        <w:t>4. Oferowany zakres częstotliwości: …………………………</w:t>
      </w: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425549" w:rsidRDefault="006B6030" w:rsidP="00891089">
      <w:pPr>
        <w:rPr>
          <w:b/>
          <w:u w:val="single"/>
        </w:rPr>
      </w:pPr>
      <w:r>
        <w:rPr>
          <w:b/>
          <w:u w:val="single"/>
        </w:rPr>
        <w:t>Przenośny analizator widma</w:t>
      </w:r>
      <w:r w:rsidR="00952F9A">
        <w:rPr>
          <w:b/>
          <w:u w:val="single"/>
        </w:rPr>
        <w:t xml:space="preserve">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3544"/>
      </w:tblGrid>
      <w:tr w:rsidR="001246ED" w:rsidRPr="00B40010" w:rsidTr="001246ED">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3544" w:type="dxa"/>
          </w:tcPr>
          <w:p w:rsidR="001246ED" w:rsidRPr="00B40010" w:rsidRDefault="001246ED" w:rsidP="00026C2D">
            <w:pPr>
              <w:rPr>
                <w:b/>
              </w:rPr>
            </w:pPr>
            <w:r w:rsidRPr="00B40010">
              <w:rPr>
                <w:b/>
                <w:sz w:val="22"/>
                <w:szCs w:val="22"/>
              </w:rPr>
              <w:t xml:space="preserve"> Oferowany</w:t>
            </w:r>
          </w:p>
        </w:tc>
      </w:tr>
      <w:tr w:rsidR="001246ED" w:rsidRPr="009778D7" w:rsidTr="001246ED">
        <w:trPr>
          <w:trHeight w:val="2180"/>
        </w:trPr>
        <w:tc>
          <w:tcPr>
            <w:tcW w:w="5670" w:type="dxa"/>
          </w:tcPr>
          <w:p w:rsidR="001246ED" w:rsidRDefault="001246ED" w:rsidP="006B6030">
            <w:pPr>
              <w:spacing w:line="360" w:lineRule="auto"/>
              <w:ind w:left="360"/>
              <w:rPr>
                <w:b/>
                <w:sz w:val="20"/>
                <w:szCs w:val="20"/>
              </w:rPr>
            </w:pPr>
            <w:r>
              <w:rPr>
                <w:b/>
                <w:sz w:val="20"/>
                <w:szCs w:val="20"/>
              </w:rPr>
              <w:t>Funkcje urządzenia:</w:t>
            </w:r>
          </w:p>
          <w:p w:rsidR="001246ED" w:rsidRPr="006B6030" w:rsidRDefault="001246ED" w:rsidP="00DB61A7">
            <w:pPr>
              <w:numPr>
                <w:ilvl w:val="0"/>
                <w:numId w:val="4"/>
              </w:numPr>
              <w:tabs>
                <w:tab w:val="clear" w:pos="360"/>
                <w:tab w:val="num" w:pos="720"/>
              </w:tabs>
              <w:spacing w:line="360" w:lineRule="auto"/>
              <w:ind w:left="720"/>
              <w:rPr>
                <w:sz w:val="20"/>
                <w:szCs w:val="20"/>
              </w:rPr>
            </w:pPr>
            <w:r w:rsidRPr="006B6030">
              <w:rPr>
                <w:sz w:val="20"/>
                <w:szCs w:val="20"/>
              </w:rPr>
              <w:t>analizatora widma</w:t>
            </w:r>
          </w:p>
          <w:p w:rsidR="001246ED" w:rsidRPr="006B6030" w:rsidRDefault="001246ED" w:rsidP="00DB61A7">
            <w:pPr>
              <w:numPr>
                <w:ilvl w:val="0"/>
                <w:numId w:val="4"/>
              </w:numPr>
              <w:tabs>
                <w:tab w:val="clear" w:pos="360"/>
                <w:tab w:val="num" w:pos="720"/>
              </w:tabs>
              <w:spacing w:line="360" w:lineRule="auto"/>
              <w:ind w:left="720"/>
              <w:rPr>
                <w:sz w:val="20"/>
                <w:szCs w:val="20"/>
              </w:rPr>
            </w:pPr>
            <w:r w:rsidRPr="006B6030">
              <w:rPr>
                <w:sz w:val="20"/>
                <w:szCs w:val="20"/>
              </w:rPr>
              <w:t>wektorowego analizatora sieci (</w:t>
            </w:r>
            <w:proofErr w:type="spellStart"/>
            <w:r w:rsidRPr="006B6030">
              <w:rPr>
                <w:sz w:val="20"/>
                <w:szCs w:val="20"/>
              </w:rPr>
              <w:t>full</w:t>
            </w:r>
            <w:proofErr w:type="spellEnd"/>
            <w:r w:rsidRPr="006B6030">
              <w:rPr>
                <w:sz w:val="20"/>
                <w:szCs w:val="20"/>
              </w:rPr>
              <w:t xml:space="preserve"> 2-port </w:t>
            </w:r>
            <w:proofErr w:type="spellStart"/>
            <w:r w:rsidRPr="006B6030">
              <w:rPr>
                <w:sz w:val="20"/>
                <w:szCs w:val="20"/>
              </w:rPr>
              <w:t>S-parameters</w:t>
            </w:r>
            <w:proofErr w:type="spellEnd"/>
            <w:r w:rsidRPr="006B6030">
              <w:rPr>
                <w:sz w:val="20"/>
                <w:szCs w:val="20"/>
              </w:rPr>
              <w:t xml:space="preserve">) </w:t>
            </w:r>
          </w:p>
          <w:p w:rsidR="001246ED" w:rsidRPr="006B6030" w:rsidRDefault="001246ED" w:rsidP="00DB61A7">
            <w:pPr>
              <w:numPr>
                <w:ilvl w:val="0"/>
                <w:numId w:val="4"/>
              </w:numPr>
              <w:tabs>
                <w:tab w:val="clear" w:pos="360"/>
                <w:tab w:val="num" w:pos="720"/>
              </w:tabs>
              <w:spacing w:line="360" w:lineRule="auto"/>
              <w:ind w:left="720"/>
              <w:rPr>
                <w:sz w:val="20"/>
                <w:szCs w:val="20"/>
              </w:rPr>
            </w:pPr>
            <w:r w:rsidRPr="006B6030">
              <w:rPr>
                <w:sz w:val="20"/>
                <w:szCs w:val="20"/>
              </w:rPr>
              <w:t>konwertera częstotliwości do pasma poniżej 1GHz</w:t>
            </w:r>
          </w:p>
          <w:p w:rsidR="001246ED" w:rsidRPr="006777D8" w:rsidRDefault="001246ED" w:rsidP="006B6030">
            <w:pPr>
              <w:spacing w:line="360" w:lineRule="auto"/>
              <w:ind w:left="360"/>
              <w:rPr>
                <w:b/>
                <w:sz w:val="20"/>
                <w:szCs w:val="20"/>
              </w:rPr>
            </w:pPr>
          </w:p>
        </w:tc>
        <w:tc>
          <w:tcPr>
            <w:tcW w:w="3544"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r w:rsidR="001246ED" w:rsidRPr="009778D7" w:rsidTr="001246ED">
        <w:trPr>
          <w:trHeight w:val="3585"/>
        </w:trPr>
        <w:tc>
          <w:tcPr>
            <w:tcW w:w="5670" w:type="dxa"/>
          </w:tcPr>
          <w:p w:rsidR="001246ED" w:rsidRDefault="001246ED" w:rsidP="006B6030">
            <w:pPr>
              <w:spacing w:line="360" w:lineRule="auto"/>
              <w:ind w:left="360"/>
              <w:rPr>
                <w:b/>
                <w:sz w:val="20"/>
                <w:szCs w:val="20"/>
              </w:rPr>
            </w:pPr>
            <w:r>
              <w:rPr>
                <w:b/>
                <w:sz w:val="20"/>
                <w:szCs w:val="20"/>
              </w:rPr>
              <w:t>Wymagania funkcjonalne:</w:t>
            </w:r>
          </w:p>
          <w:p w:rsidR="001246ED" w:rsidRPr="006B6030" w:rsidRDefault="001246ED" w:rsidP="00DB61A7">
            <w:pPr>
              <w:numPr>
                <w:ilvl w:val="0"/>
                <w:numId w:val="5"/>
              </w:numPr>
              <w:spacing w:line="360" w:lineRule="auto"/>
              <w:rPr>
                <w:sz w:val="20"/>
                <w:szCs w:val="20"/>
              </w:rPr>
            </w:pPr>
            <w:r w:rsidRPr="006B6030">
              <w:rPr>
                <w:sz w:val="20"/>
                <w:szCs w:val="20"/>
              </w:rPr>
              <w:t>możliwość zapisu i wywoływania nieograniczonej (poza ograniczeniami wynikającymi z całkowitej pojemności pamięci/dysku) liczby nastaw (</w:t>
            </w:r>
            <w:proofErr w:type="spellStart"/>
            <w:r w:rsidRPr="006B6030">
              <w:rPr>
                <w:sz w:val="20"/>
                <w:szCs w:val="20"/>
              </w:rPr>
              <w:t>presetów</w:t>
            </w:r>
            <w:proofErr w:type="spellEnd"/>
            <w:r w:rsidRPr="006B6030">
              <w:rPr>
                <w:sz w:val="20"/>
                <w:szCs w:val="20"/>
              </w:rPr>
              <w:t>)</w:t>
            </w:r>
          </w:p>
          <w:p w:rsidR="001246ED" w:rsidRPr="006B6030" w:rsidRDefault="001246ED" w:rsidP="00DB61A7">
            <w:pPr>
              <w:numPr>
                <w:ilvl w:val="0"/>
                <w:numId w:val="5"/>
              </w:numPr>
              <w:spacing w:line="360" w:lineRule="auto"/>
              <w:rPr>
                <w:sz w:val="20"/>
                <w:szCs w:val="20"/>
              </w:rPr>
            </w:pPr>
            <w:r w:rsidRPr="006B6030">
              <w:rPr>
                <w:sz w:val="20"/>
                <w:szCs w:val="20"/>
              </w:rPr>
              <w:t>możliwość zapisu wyników pomiaru w formie graficznej (plik graficzny)</w:t>
            </w:r>
          </w:p>
          <w:p w:rsidR="001246ED" w:rsidRDefault="001246ED" w:rsidP="00DB61A7">
            <w:pPr>
              <w:numPr>
                <w:ilvl w:val="0"/>
                <w:numId w:val="5"/>
              </w:numPr>
              <w:spacing w:line="360" w:lineRule="auto"/>
              <w:rPr>
                <w:sz w:val="20"/>
                <w:szCs w:val="20"/>
              </w:rPr>
            </w:pPr>
            <w:r w:rsidRPr="006B6030">
              <w:rPr>
                <w:sz w:val="20"/>
                <w:szCs w:val="20"/>
              </w:rPr>
              <w:t>możliwość zapisu wyników pomiaru w formie numerycznej (plik umożliwiający export danych do arkusza Excel)</w:t>
            </w:r>
          </w:p>
          <w:p w:rsidR="001246ED" w:rsidRDefault="001246ED" w:rsidP="006B6030">
            <w:pPr>
              <w:spacing w:line="360" w:lineRule="auto"/>
              <w:ind w:left="360"/>
              <w:rPr>
                <w:b/>
                <w:sz w:val="20"/>
                <w:szCs w:val="20"/>
              </w:rPr>
            </w:pPr>
          </w:p>
        </w:tc>
        <w:tc>
          <w:tcPr>
            <w:tcW w:w="3544"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tc>
      </w:tr>
      <w:tr w:rsidR="001246ED" w:rsidRPr="009778D7" w:rsidTr="001246ED">
        <w:trPr>
          <w:trHeight w:val="2475"/>
        </w:trPr>
        <w:tc>
          <w:tcPr>
            <w:tcW w:w="5670" w:type="dxa"/>
          </w:tcPr>
          <w:p w:rsidR="001246ED" w:rsidRDefault="001246ED" w:rsidP="006B6030">
            <w:pPr>
              <w:spacing w:line="360" w:lineRule="auto"/>
              <w:rPr>
                <w:b/>
                <w:sz w:val="20"/>
                <w:szCs w:val="20"/>
              </w:rPr>
            </w:pPr>
            <w:r w:rsidRPr="006B6030">
              <w:rPr>
                <w:b/>
                <w:sz w:val="20"/>
                <w:szCs w:val="20"/>
              </w:rPr>
              <w:t>Wymagania funkcjonalne w trybie analizatora widma</w:t>
            </w:r>
            <w:r>
              <w:rPr>
                <w:b/>
                <w:sz w:val="20"/>
                <w:szCs w:val="20"/>
              </w:rPr>
              <w:t>:</w:t>
            </w:r>
          </w:p>
          <w:p w:rsidR="001246ED" w:rsidRPr="006B6030" w:rsidRDefault="001246ED" w:rsidP="00DB61A7">
            <w:pPr>
              <w:numPr>
                <w:ilvl w:val="0"/>
                <w:numId w:val="6"/>
              </w:numPr>
              <w:spacing w:line="360" w:lineRule="auto"/>
              <w:rPr>
                <w:sz w:val="20"/>
                <w:szCs w:val="20"/>
              </w:rPr>
            </w:pPr>
            <w:r w:rsidRPr="006B6030">
              <w:rPr>
                <w:sz w:val="20"/>
                <w:szCs w:val="20"/>
              </w:rPr>
              <w:t>posiadać przedwzmacniacz niskoszumny</w:t>
            </w:r>
          </w:p>
          <w:p w:rsidR="001246ED" w:rsidRPr="006B6030" w:rsidRDefault="001246ED" w:rsidP="00DB61A7">
            <w:pPr>
              <w:numPr>
                <w:ilvl w:val="0"/>
                <w:numId w:val="6"/>
              </w:numPr>
              <w:spacing w:line="360" w:lineRule="auto"/>
              <w:rPr>
                <w:sz w:val="20"/>
                <w:szCs w:val="20"/>
              </w:rPr>
            </w:pPr>
            <w:r w:rsidRPr="006B6030">
              <w:rPr>
                <w:sz w:val="20"/>
                <w:szCs w:val="20"/>
              </w:rPr>
              <w:t>wyzwalanie pomiaru sygnałem zewnętrznym oraz poziomem sygnału mierzonego</w:t>
            </w:r>
          </w:p>
          <w:p w:rsidR="001246ED" w:rsidRDefault="001246ED" w:rsidP="00DB61A7">
            <w:pPr>
              <w:numPr>
                <w:ilvl w:val="0"/>
                <w:numId w:val="6"/>
              </w:numPr>
              <w:spacing w:line="360" w:lineRule="auto"/>
              <w:rPr>
                <w:b/>
                <w:sz w:val="20"/>
                <w:szCs w:val="20"/>
              </w:rPr>
            </w:pPr>
            <w:r w:rsidRPr="006B6030">
              <w:rPr>
                <w:sz w:val="20"/>
                <w:szCs w:val="20"/>
              </w:rPr>
              <w:t>praca w trybie FFT (dla małych wartości RBW)</w:t>
            </w:r>
          </w:p>
        </w:tc>
        <w:tc>
          <w:tcPr>
            <w:tcW w:w="3544" w:type="dxa"/>
          </w:tcPr>
          <w:p w:rsidR="001246ED" w:rsidRDefault="001246ED" w:rsidP="005A7C6A">
            <w:pPr>
              <w:pStyle w:val="Standard"/>
              <w:rPr>
                <w:b/>
                <w:sz w:val="22"/>
                <w:szCs w:val="22"/>
              </w:rPr>
            </w:pPr>
          </w:p>
        </w:tc>
      </w:tr>
      <w:tr w:rsidR="001246ED" w:rsidRPr="009778D7" w:rsidTr="001246ED">
        <w:trPr>
          <w:trHeight w:val="3824"/>
        </w:trPr>
        <w:tc>
          <w:tcPr>
            <w:tcW w:w="5670" w:type="dxa"/>
          </w:tcPr>
          <w:p w:rsidR="001246ED" w:rsidRDefault="001246ED" w:rsidP="006B6030">
            <w:pPr>
              <w:spacing w:line="360" w:lineRule="auto"/>
              <w:rPr>
                <w:b/>
                <w:sz w:val="20"/>
                <w:szCs w:val="20"/>
              </w:rPr>
            </w:pPr>
            <w:r>
              <w:rPr>
                <w:b/>
                <w:sz w:val="20"/>
                <w:szCs w:val="20"/>
              </w:rPr>
              <w:lastRenderedPageBreak/>
              <w:t>Wymagania funkcjonalne w trybie wektorowego analizatora sieci:</w:t>
            </w:r>
          </w:p>
          <w:p w:rsidR="001246ED" w:rsidRPr="006B6030" w:rsidRDefault="001246ED" w:rsidP="00DB61A7">
            <w:pPr>
              <w:numPr>
                <w:ilvl w:val="0"/>
                <w:numId w:val="7"/>
              </w:numPr>
              <w:spacing w:line="360" w:lineRule="auto"/>
              <w:rPr>
                <w:sz w:val="20"/>
                <w:szCs w:val="20"/>
              </w:rPr>
            </w:pPr>
            <w:r w:rsidRPr="006B6030">
              <w:rPr>
                <w:sz w:val="20"/>
                <w:szCs w:val="20"/>
              </w:rPr>
              <w:t>prezentacja wyników pomiaru w prostokątnym układzie współrzędnych w skali decybelowej oraz w skali SWR, na wykresie Smitha, w biegunowym układzie współrzędnych</w:t>
            </w:r>
          </w:p>
          <w:p w:rsidR="001246ED" w:rsidRPr="006B6030" w:rsidRDefault="001246ED" w:rsidP="00DB61A7">
            <w:pPr>
              <w:numPr>
                <w:ilvl w:val="0"/>
                <w:numId w:val="7"/>
              </w:numPr>
              <w:spacing w:line="360" w:lineRule="auto"/>
              <w:rPr>
                <w:b/>
                <w:sz w:val="20"/>
                <w:szCs w:val="20"/>
              </w:rPr>
            </w:pPr>
            <w:r w:rsidRPr="006B6030">
              <w:rPr>
                <w:sz w:val="20"/>
                <w:szCs w:val="20"/>
              </w:rPr>
              <w:t xml:space="preserve">możliwość zapisu i wywoływania nieograniczonej (poza ograniczeniami wynikającymi z całkowitej pojemności pamięci/dysku) liczby danych kalibracyjnych </w:t>
            </w:r>
          </w:p>
        </w:tc>
        <w:tc>
          <w:tcPr>
            <w:tcW w:w="3544" w:type="dxa"/>
          </w:tcPr>
          <w:p w:rsidR="001246ED" w:rsidRDefault="001246ED" w:rsidP="005A7C6A">
            <w:pPr>
              <w:pStyle w:val="Standard"/>
              <w:rPr>
                <w:b/>
                <w:sz w:val="22"/>
                <w:szCs w:val="22"/>
              </w:rPr>
            </w:pPr>
          </w:p>
        </w:tc>
      </w:tr>
      <w:tr w:rsidR="001246ED" w:rsidRPr="009778D7" w:rsidTr="001246ED">
        <w:trPr>
          <w:trHeight w:val="3914"/>
        </w:trPr>
        <w:tc>
          <w:tcPr>
            <w:tcW w:w="5670" w:type="dxa"/>
          </w:tcPr>
          <w:p w:rsidR="001246ED" w:rsidRPr="001246ED" w:rsidRDefault="001246ED" w:rsidP="001246ED">
            <w:pPr>
              <w:spacing w:line="360" w:lineRule="auto"/>
              <w:ind w:left="720"/>
              <w:rPr>
                <w:b/>
                <w:sz w:val="20"/>
                <w:szCs w:val="20"/>
              </w:rPr>
            </w:pPr>
            <w:r w:rsidRPr="001246ED">
              <w:rPr>
                <w:b/>
                <w:sz w:val="20"/>
                <w:szCs w:val="20"/>
              </w:rPr>
              <w:t>Parametry nie gorsze niż:</w:t>
            </w:r>
          </w:p>
          <w:p w:rsidR="001246ED" w:rsidRDefault="001246ED" w:rsidP="00DB61A7">
            <w:pPr>
              <w:numPr>
                <w:ilvl w:val="0"/>
                <w:numId w:val="8"/>
              </w:numPr>
              <w:spacing w:line="360" w:lineRule="auto"/>
              <w:rPr>
                <w:b/>
                <w:sz w:val="20"/>
                <w:szCs w:val="20"/>
              </w:rPr>
            </w:pPr>
            <w:r w:rsidRPr="001246ED">
              <w:rPr>
                <w:sz w:val="20"/>
                <w:szCs w:val="20"/>
              </w:rPr>
              <w:t>zakres częstotliwości od 300kHz do 26,</w:t>
            </w:r>
            <w:r w:rsidRPr="0080387F">
              <w:rPr>
                <w:sz w:val="20"/>
                <w:szCs w:val="20"/>
              </w:rPr>
              <w:t>5</w:t>
            </w:r>
            <w:r w:rsidR="0080387F">
              <w:rPr>
                <w:sz w:val="20"/>
                <w:szCs w:val="20"/>
              </w:rPr>
              <w:t xml:space="preserve"> </w:t>
            </w:r>
            <w:proofErr w:type="spellStart"/>
            <w:r w:rsidRPr="0080387F">
              <w:rPr>
                <w:sz w:val="20"/>
                <w:szCs w:val="20"/>
              </w:rPr>
              <w:t>GHz</w:t>
            </w:r>
            <w:proofErr w:type="spellEnd"/>
            <w:r w:rsidRPr="0080387F">
              <w:rPr>
                <w:sz w:val="20"/>
                <w:szCs w:val="20"/>
              </w:rPr>
              <w:t xml:space="preserve"> </w:t>
            </w:r>
            <w:r w:rsidR="0080387F">
              <w:rPr>
                <w:sz w:val="20"/>
                <w:szCs w:val="20"/>
              </w:rPr>
              <w:t xml:space="preserve"> </w:t>
            </w:r>
            <w:r w:rsidRPr="001246ED">
              <w:rPr>
                <w:b/>
                <w:sz w:val="20"/>
                <w:szCs w:val="20"/>
              </w:rPr>
              <w:t>(parametr oceniany – powyżej tego zakresu Wykonawca otrzyma dodatkowe punkty)</w:t>
            </w:r>
            <w:r w:rsidR="008D0229">
              <w:rPr>
                <w:b/>
                <w:sz w:val="20"/>
                <w:szCs w:val="20"/>
              </w:rPr>
              <w:t>:</w:t>
            </w:r>
          </w:p>
          <w:p w:rsidR="008D0229" w:rsidRPr="008D0229" w:rsidRDefault="008D0229" w:rsidP="008D0229">
            <w:pPr>
              <w:spacing w:line="360" w:lineRule="auto"/>
              <w:rPr>
                <w:b/>
                <w:sz w:val="20"/>
                <w:szCs w:val="20"/>
                <w:u w:val="single"/>
              </w:rPr>
            </w:pPr>
            <w:r w:rsidRPr="008D0229">
              <w:rPr>
                <w:b/>
                <w:sz w:val="20"/>
                <w:szCs w:val="20"/>
                <w:u w:val="single"/>
              </w:rPr>
              <w:t>od 300kHz do 26,5</w:t>
            </w:r>
            <w:r w:rsidR="0080387F">
              <w:rPr>
                <w:b/>
                <w:sz w:val="20"/>
                <w:szCs w:val="20"/>
                <w:u w:val="single"/>
              </w:rPr>
              <w:t xml:space="preserve"> </w:t>
            </w:r>
            <w:proofErr w:type="spellStart"/>
            <w:r w:rsidRPr="008D0229">
              <w:rPr>
                <w:b/>
                <w:sz w:val="20"/>
                <w:szCs w:val="20"/>
                <w:u w:val="single"/>
              </w:rPr>
              <w:t>GHz</w:t>
            </w:r>
            <w:proofErr w:type="spellEnd"/>
            <w:r w:rsidRPr="008D0229">
              <w:rPr>
                <w:b/>
                <w:sz w:val="20"/>
                <w:szCs w:val="20"/>
                <w:u w:val="single"/>
              </w:rPr>
              <w:t xml:space="preserve"> – 0 pkt.</w:t>
            </w:r>
          </w:p>
          <w:p w:rsidR="008D0229" w:rsidRPr="008D0229" w:rsidRDefault="008D0229" w:rsidP="008D0229">
            <w:pPr>
              <w:spacing w:after="200" w:line="276" w:lineRule="auto"/>
              <w:rPr>
                <w:b/>
                <w:sz w:val="20"/>
                <w:szCs w:val="20"/>
                <w:u w:val="single"/>
              </w:rPr>
            </w:pPr>
            <w:r w:rsidRPr="008D0229">
              <w:rPr>
                <w:b/>
                <w:sz w:val="20"/>
                <w:szCs w:val="20"/>
                <w:u w:val="single"/>
              </w:rPr>
              <w:t>Górna granica częstotliwości pracy od 36</w:t>
            </w:r>
            <w:r w:rsidR="0080387F">
              <w:rPr>
                <w:b/>
                <w:sz w:val="20"/>
                <w:szCs w:val="20"/>
                <w:u w:val="single"/>
              </w:rPr>
              <w:t xml:space="preserve"> </w:t>
            </w:r>
            <w:proofErr w:type="spellStart"/>
            <w:r w:rsidRPr="008D0229">
              <w:rPr>
                <w:b/>
                <w:sz w:val="20"/>
                <w:szCs w:val="20"/>
                <w:u w:val="single"/>
              </w:rPr>
              <w:t>GHz</w:t>
            </w:r>
            <w:proofErr w:type="spellEnd"/>
            <w:r w:rsidRPr="008D0229">
              <w:rPr>
                <w:b/>
                <w:sz w:val="20"/>
                <w:szCs w:val="20"/>
                <w:u w:val="single"/>
              </w:rPr>
              <w:t xml:space="preserve"> do 49,999</w:t>
            </w:r>
            <w:r w:rsidR="0080387F">
              <w:rPr>
                <w:b/>
                <w:sz w:val="20"/>
                <w:szCs w:val="20"/>
                <w:u w:val="single"/>
              </w:rPr>
              <w:t xml:space="preserve"> </w:t>
            </w:r>
            <w:proofErr w:type="spellStart"/>
            <w:r w:rsidRPr="008D0229">
              <w:rPr>
                <w:b/>
                <w:sz w:val="20"/>
                <w:szCs w:val="20"/>
                <w:u w:val="single"/>
              </w:rPr>
              <w:t>GHz</w:t>
            </w:r>
            <w:proofErr w:type="spellEnd"/>
            <w:r w:rsidRPr="008D0229">
              <w:rPr>
                <w:b/>
                <w:sz w:val="20"/>
                <w:szCs w:val="20"/>
                <w:u w:val="single"/>
              </w:rPr>
              <w:t xml:space="preserve"> - 10 pkt.</w:t>
            </w:r>
          </w:p>
          <w:p w:rsidR="008D0229" w:rsidRPr="008D0229" w:rsidRDefault="008D0229" w:rsidP="008D0229">
            <w:pPr>
              <w:spacing w:line="360" w:lineRule="auto"/>
              <w:ind w:left="720" w:hanging="686"/>
              <w:rPr>
                <w:b/>
                <w:sz w:val="20"/>
                <w:szCs w:val="20"/>
                <w:u w:val="single"/>
              </w:rPr>
            </w:pPr>
            <w:r w:rsidRPr="008D0229">
              <w:rPr>
                <w:b/>
                <w:sz w:val="20"/>
                <w:szCs w:val="20"/>
                <w:u w:val="single"/>
              </w:rPr>
              <w:t xml:space="preserve">Górna granica częstotliwości pracy od 50GHz: - 20 </w:t>
            </w:r>
            <w:proofErr w:type="spellStart"/>
            <w:r w:rsidRPr="008D0229">
              <w:rPr>
                <w:b/>
                <w:sz w:val="20"/>
                <w:szCs w:val="20"/>
                <w:u w:val="single"/>
              </w:rPr>
              <w:t>pkt</w:t>
            </w:r>
            <w:proofErr w:type="spellEnd"/>
          </w:p>
          <w:p w:rsidR="001246ED" w:rsidRPr="001246ED" w:rsidRDefault="001246ED" w:rsidP="00DB61A7">
            <w:pPr>
              <w:numPr>
                <w:ilvl w:val="0"/>
                <w:numId w:val="8"/>
              </w:numPr>
              <w:spacing w:line="360" w:lineRule="auto"/>
              <w:rPr>
                <w:sz w:val="20"/>
                <w:szCs w:val="20"/>
              </w:rPr>
            </w:pPr>
            <w:r w:rsidRPr="001246ED">
              <w:rPr>
                <w:sz w:val="20"/>
                <w:szCs w:val="20"/>
              </w:rPr>
              <w:t>zakres temperatury pracy od -10 do +</w:t>
            </w:r>
            <w:smartTag w:uri="urn:schemas-microsoft-com:office:smarttags" w:element="metricconverter">
              <w:smartTagPr>
                <w:attr w:name="ProductID" w:val="55 st"/>
              </w:smartTagPr>
              <w:r w:rsidRPr="001246ED">
                <w:rPr>
                  <w:sz w:val="20"/>
                  <w:szCs w:val="20"/>
                </w:rPr>
                <w:t>55 st</w:t>
              </w:r>
            </w:smartTag>
            <w:r w:rsidRPr="001246ED">
              <w:rPr>
                <w:sz w:val="20"/>
                <w:szCs w:val="20"/>
              </w:rPr>
              <w:t>. C</w:t>
            </w:r>
          </w:p>
          <w:p w:rsidR="001246ED" w:rsidRPr="001246ED" w:rsidRDefault="001246ED" w:rsidP="00DB61A7">
            <w:pPr>
              <w:numPr>
                <w:ilvl w:val="0"/>
                <w:numId w:val="8"/>
              </w:numPr>
              <w:spacing w:line="360" w:lineRule="auto"/>
              <w:rPr>
                <w:sz w:val="20"/>
                <w:szCs w:val="20"/>
              </w:rPr>
            </w:pPr>
            <w:r w:rsidRPr="001246ED">
              <w:rPr>
                <w:sz w:val="20"/>
                <w:szCs w:val="20"/>
              </w:rPr>
              <w:t xml:space="preserve">dokładność częstotliwości  (z pominięciem dryftu długoterminowego) </w:t>
            </w:r>
            <w:r w:rsidRPr="001246ED">
              <w:rPr>
                <w:sz w:val="20"/>
                <w:szCs w:val="20"/>
              </w:rPr>
              <w:sym w:font="Symbol" w:char="F0B1"/>
            </w:r>
            <w:r w:rsidRPr="001246ED">
              <w:rPr>
                <w:sz w:val="20"/>
                <w:szCs w:val="20"/>
              </w:rPr>
              <w:t>1ppm</w:t>
            </w:r>
          </w:p>
          <w:p w:rsidR="001246ED" w:rsidRPr="001246ED" w:rsidRDefault="001246ED" w:rsidP="00DB61A7">
            <w:pPr>
              <w:numPr>
                <w:ilvl w:val="0"/>
                <w:numId w:val="8"/>
              </w:numPr>
              <w:spacing w:line="360" w:lineRule="auto"/>
              <w:rPr>
                <w:sz w:val="20"/>
                <w:szCs w:val="20"/>
              </w:rPr>
            </w:pPr>
            <w:r w:rsidRPr="001246ED">
              <w:rPr>
                <w:sz w:val="20"/>
                <w:szCs w:val="20"/>
              </w:rPr>
              <w:t xml:space="preserve">dryft długoterminowy </w:t>
            </w:r>
            <w:r w:rsidRPr="001246ED">
              <w:rPr>
                <w:sz w:val="20"/>
                <w:szCs w:val="20"/>
              </w:rPr>
              <w:sym w:font="Symbol" w:char="F0B1"/>
            </w:r>
            <w:r w:rsidRPr="001246ED">
              <w:rPr>
                <w:sz w:val="20"/>
                <w:szCs w:val="20"/>
              </w:rPr>
              <w:t>1ppm/rok</w:t>
            </w:r>
          </w:p>
          <w:p w:rsidR="001246ED" w:rsidRPr="001246ED" w:rsidRDefault="001246ED" w:rsidP="00DB61A7">
            <w:pPr>
              <w:numPr>
                <w:ilvl w:val="0"/>
                <w:numId w:val="8"/>
              </w:numPr>
              <w:spacing w:line="360" w:lineRule="auto"/>
              <w:rPr>
                <w:sz w:val="20"/>
                <w:szCs w:val="20"/>
              </w:rPr>
            </w:pPr>
            <w:r w:rsidRPr="001246ED">
              <w:rPr>
                <w:sz w:val="20"/>
                <w:szCs w:val="20"/>
              </w:rPr>
              <w:t>szerokość pasma częstotliwości w trybie konwertera 25MHz</w:t>
            </w:r>
          </w:p>
          <w:p w:rsidR="001246ED" w:rsidRDefault="001246ED" w:rsidP="00DB61A7">
            <w:pPr>
              <w:numPr>
                <w:ilvl w:val="0"/>
                <w:numId w:val="8"/>
              </w:numPr>
              <w:spacing w:line="360" w:lineRule="auto"/>
              <w:rPr>
                <w:b/>
                <w:sz w:val="20"/>
                <w:szCs w:val="20"/>
              </w:rPr>
            </w:pPr>
            <w:r w:rsidRPr="001246ED">
              <w:rPr>
                <w:sz w:val="20"/>
                <w:szCs w:val="20"/>
              </w:rPr>
              <w:t>RBW analizatora widma 10</w:t>
            </w:r>
            <w:r w:rsidR="0080387F">
              <w:rPr>
                <w:sz w:val="20"/>
                <w:szCs w:val="20"/>
              </w:rPr>
              <w:t xml:space="preserve"> </w:t>
            </w:r>
            <w:r w:rsidRPr="001246ED">
              <w:rPr>
                <w:sz w:val="20"/>
                <w:szCs w:val="20"/>
              </w:rPr>
              <w:t>Hz – 5</w:t>
            </w:r>
            <w:r w:rsidR="0080387F">
              <w:rPr>
                <w:sz w:val="20"/>
                <w:szCs w:val="20"/>
              </w:rPr>
              <w:t xml:space="preserve"> </w:t>
            </w:r>
            <w:proofErr w:type="spellStart"/>
            <w:r w:rsidRPr="001246ED">
              <w:rPr>
                <w:sz w:val="20"/>
                <w:szCs w:val="20"/>
              </w:rPr>
              <w:t>MHz</w:t>
            </w:r>
            <w:proofErr w:type="spellEnd"/>
          </w:p>
        </w:tc>
        <w:tc>
          <w:tcPr>
            <w:tcW w:w="3544" w:type="dxa"/>
          </w:tcPr>
          <w:p w:rsidR="001246ED" w:rsidRDefault="001246ED" w:rsidP="005A7C6A">
            <w:pPr>
              <w:pStyle w:val="Standard"/>
              <w:rPr>
                <w:b/>
                <w:sz w:val="22"/>
                <w:szCs w:val="22"/>
              </w:rPr>
            </w:pPr>
          </w:p>
        </w:tc>
      </w:tr>
      <w:tr w:rsidR="001246ED" w:rsidRPr="009778D7" w:rsidTr="001246ED">
        <w:trPr>
          <w:trHeight w:val="3765"/>
        </w:trPr>
        <w:tc>
          <w:tcPr>
            <w:tcW w:w="5670" w:type="dxa"/>
          </w:tcPr>
          <w:p w:rsidR="001246ED" w:rsidRPr="006B6030" w:rsidRDefault="001246ED" w:rsidP="006B6030">
            <w:pPr>
              <w:spacing w:line="360" w:lineRule="auto"/>
              <w:rPr>
                <w:b/>
                <w:sz w:val="20"/>
                <w:szCs w:val="20"/>
              </w:rPr>
            </w:pPr>
          </w:p>
          <w:p w:rsidR="001246ED" w:rsidRPr="001246ED" w:rsidRDefault="001246ED" w:rsidP="006B6030">
            <w:pPr>
              <w:spacing w:line="360" w:lineRule="auto"/>
              <w:rPr>
                <w:b/>
                <w:sz w:val="20"/>
                <w:szCs w:val="20"/>
              </w:rPr>
            </w:pPr>
            <w:r w:rsidRPr="001246ED">
              <w:rPr>
                <w:b/>
                <w:sz w:val="20"/>
                <w:szCs w:val="20"/>
              </w:rPr>
              <w:t>Wyposażenie urządzenia:</w:t>
            </w:r>
          </w:p>
          <w:p w:rsidR="001246ED" w:rsidRPr="001246ED" w:rsidRDefault="001246ED" w:rsidP="00DB61A7">
            <w:pPr>
              <w:numPr>
                <w:ilvl w:val="0"/>
                <w:numId w:val="9"/>
              </w:numPr>
              <w:spacing w:line="360" w:lineRule="auto"/>
              <w:rPr>
                <w:sz w:val="20"/>
                <w:szCs w:val="20"/>
              </w:rPr>
            </w:pPr>
            <w:r w:rsidRPr="001246ED">
              <w:rPr>
                <w:sz w:val="20"/>
                <w:szCs w:val="20"/>
              </w:rPr>
              <w:t>komplet 2 kabli pomiarowych stabilnych fazowo zakończonych złączami przeznaczonymi do pracy w pełnym zakresie częstotliwości pracy analizatora, zakończone od strony DUT złączami typu męskiego i żeńskiego</w:t>
            </w:r>
          </w:p>
          <w:p w:rsidR="001246ED" w:rsidRPr="001246ED" w:rsidRDefault="001246ED" w:rsidP="00DB61A7">
            <w:pPr>
              <w:numPr>
                <w:ilvl w:val="0"/>
                <w:numId w:val="10"/>
              </w:numPr>
              <w:spacing w:line="360" w:lineRule="auto"/>
              <w:rPr>
                <w:sz w:val="20"/>
                <w:szCs w:val="20"/>
              </w:rPr>
            </w:pPr>
            <w:r w:rsidRPr="001246ED">
              <w:rPr>
                <w:sz w:val="20"/>
                <w:szCs w:val="20"/>
              </w:rPr>
              <w:t>komplet kalibratorów (zwarcie, rozwarcie, obciążenie)  dla złączy typu męskiego i żeńskiego</w:t>
            </w:r>
          </w:p>
          <w:p w:rsidR="001246ED" w:rsidRPr="001246ED" w:rsidRDefault="001246ED" w:rsidP="00DB61A7">
            <w:pPr>
              <w:numPr>
                <w:ilvl w:val="0"/>
                <w:numId w:val="10"/>
              </w:numPr>
              <w:spacing w:line="360" w:lineRule="auto"/>
              <w:rPr>
                <w:b/>
                <w:sz w:val="20"/>
                <w:szCs w:val="20"/>
              </w:rPr>
            </w:pPr>
            <w:r w:rsidRPr="001246ED">
              <w:rPr>
                <w:sz w:val="20"/>
                <w:szCs w:val="20"/>
              </w:rPr>
              <w:t>w przypadku innego niż 3.5mm standardu złącz, zestaw adapterów do standardu 3.5mm</w:t>
            </w:r>
          </w:p>
        </w:tc>
        <w:tc>
          <w:tcPr>
            <w:tcW w:w="3544" w:type="dxa"/>
          </w:tcPr>
          <w:p w:rsidR="001246ED" w:rsidRDefault="001246ED" w:rsidP="005A7C6A">
            <w:pPr>
              <w:pStyle w:val="Standard"/>
              <w:rPr>
                <w:b/>
                <w:sz w:val="22"/>
                <w:szCs w:val="22"/>
              </w:rPr>
            </w:pPr>
          </w:p>
        </w:tc>
      </w:tr>
      <w:tr w:rsidR="001246ED" w:rsidRPr="009778D7" w:rsidTr="001246ED">
        <w:trPr>
          <w:trHeight w:val="2252"/>
        </w:trPr>
        <w:tc>
          <w:tcPr>
            <w:tcW w:w="5670" w:type="dxa"/>
          </w:tcPr>
          <w:p w:rsidR="001246ED" w:rsidRDefault="001246ED" w:rsidP="006B6030">
            <w:pPr>
              <w:spacing w:line="360" w:lineRule="auto"/>
              <w:rPr>
                <w:sz w:val="20"/>
                <w:szCs w:val="20"/>
              </w:rPr>
            </w:pPr>
          </w:p>
          <w:p w:rsidR="001246ED" w:rsidRPr="001246ED" w:rsidRDefault="001246ED" w:rsidP="006B6030">
            <w:pPr>
              <w:spacing w:line="360" w:lineRule="auto"/>
              <w:rPr>
                <w:b/>
                <w:sz w:val="20"/>
                <w:szCs w:val="20"/>
              </w:rPr>
            </w:pPr>
            <w:r w:rsidRPr="001246ED">
              <w:rPr>
                <w:b/>
                <w:sz w:val="20"/>
                <w:szCs w:val="20"/>
              </w:rPr>
              <w:t>Gwarancja i serwis:</w:t>
            </w:r>
          </w:p>
          <w:p w:rsidR="001246ED" w:rsidRPr="001246ED" w:rsidRDefault="001246ED" w:rsidP="00DB61A7">
            <w:pPr>
              <w:numPr>
                <w:ilvl w:val="0"/>
                <w:numId w:val="10"/>
              </w:numPr>
              <w:spacing w:line="360" w:lineRule="auto"/>
              <w:rPr>
                <w:sz w:val="20"/>
                <w:szCs w:val="20"/>
              </w:rPr>
            </w:pPr>
            <w:r w:rsidRPr="001246ED">
              <w:rPr>
                <w:sz w:val="20"/>
                <w:szCs w:val="20"/>
              </w:rPr>
              <w:t>Urządzenie  objęte co najmniej 24 miesięczną gwarancją</w:t>
            </w:r>
          </w:p>
          <w:p w:rsidR="001246ED" w:rsidRPr="001246ED" w:rsidRDefault="001246ED" w:rsidP="00DB61A7">
            <w:pPr>
              <w:numPr>
                <w:ilvl w:val="0"/>
                <w:numId w:val="10"/>
              </w:numPr>
              <w:spacing w:line="360" w:lineRule="auto"/>
              <w:rPr>
                <w:sz w:val="20"/>
                <w:szCs w:val="20"/>
              </w:rPr>
            </w:pPr>
            <w:r w:rsidRPr="001246ED">
              <w:rPr>
                <w:sz w:val="20"/>
                <w:szCs w:val="20"/>
              </w:rPr>
              <w:t>Serwis urządzenia i wsparcie techniczne na terenie Polski</w:t>
            </w:r>
          </w:p>
          <w:p w:rsidR="001246ED" w:rsidRPr="006B6030" w:rsidRDefault="001246ED" w:rsidP="006B6030">
            <w:pPr>
              <w:spacing w:line="360" w:lineRule="auto"/>
              <w:ind w:left="360"/>
              <w:rPr>
                <w:b/>
                <w:sz w:val="20"/>
                <w:szCs w:val="20"/>
              </w:rPr>
            </w:pPr>
          </w:p>
        </w:tc>
        <w:tc>
          <w:tcPr>
            <w:tcW w:w="3544" w:type="dxa"/>
          </w:tcPr>
          <w:p w:rsidR="001246ED" w:rsidRDefault="001246ED" w:rsidP="005A7C6A">
            <w:pPr>
              <w:pStyle w:val="Standard"/>
              <w:rPr>
                <w:b/>
                <w:sz w:val="22"/>
                <w:szCs w:val="22"/>
              </w:rPr>
            </w:pPr>
          </w:p>
        </w:tc>
      </w:tr>
    </w:tbl>
    <w:p w:rsidR="003305B3" w:rsidRPr="00046DDE" w:rsidRDefault="003305B3" w:rsidP="006E531C">
      <w:pPr>
        <w:rPr>
          <w:b/>
          <w:color w:val="000000"/>
        </w:rPr>
      </w:pPr>
    </w:p>
    <w:p w:rsidR="003305B3" w:rsidRPr="00046DDE" w:rsidRDefault="003305B3" w:rsidP="006E531C">
      <w:pPr>
        <w:rPr>
          <w:b/>
          <w:color w:val="000000"/>
        </w:rPr>
      </w:pPr>
    </w:p>
    <w:p w:rsidR="008D3BD7" w:rsidRPr="00ED1EE4" w:rsidRDefault="008D3BD7" w:rsidP="0026017A">
      <w:pPr>
        <w:adjustRightInd w:val="0"/>
        <w:ind w:left="4963" w:firstLine="709"/>
        <w:rPr>
          <w:sz w:val="28"/>
          <w:szCs w:val="28"/>
        </w:rPr>
      </w:pPr>
    </w:p>
    <w:p w:rsidR="00894364" w:rsidRDefault="00894364"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pPr>
        <w:rPr>
          <w:sz w:val="28"/>
          <w:szCs w:val="28"/>
        </w:rPr>
      </w:pPr>
      <w:r>
        <w:rPr>
          <w:sz w:val="28"/>
          <w:szCs w:val="28"/>
        </w:rPr>
        <w:br w:type="page"/>
      </w:r>
    </w:p>
    <w:p w:rsidR="00253BDD" w:rsidRDefault="00253BDD"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lastRenderedPageBreak/>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w:t>
      </w:r>
      <w:proofErr w:type="spellStart"/>
      <w:r w:rsidRPr="00947E11">
        <w:rPr>
          <w:sz w:val="28"/>
          <w:szCs w:val="28"/>
        </w:rPr>
        <w:t>ych</w:t>
      </w:r>
      <w:proofErr w:type="spellEnd"/>
      <w:r w:rsidRPr="00947E11">
        <w:rPr>
          <w:sz w:val="28"/>
          <w:szCs w:val="28"/>
        </w:rPr>
        <w:t xml:space="preserve">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3305B3" w:rsidRDefault="003305B3" w:rsidP="009D2D7F">
      <w:pPr>
        <w:pStyle w:val="Default"/>
        <w:rPr>
          <w:sz w:val="23"/>
          <w:szCs w:val="23"/>
        </w:rPr>
      </w:pPr>
      <w:r>
        <w:rPr>
          <w:sz w:val="23"/>
          <w:szCs w:val="23"/>
        </w:rPr>
        <w:t xml:space="preserve">............................................... </w:t>
      </w:r>
    </w:p>
    <w:p w:rsidR="003305B3" w:rsidRDefault="003305B3" w:rsidP="009D2D7F">
      <w:pPr>
        <w:pStyle w:val="Default"/>
        <w:rPr>
          <w:sz w:val="20"/>
        </w:rPr>
      </w:pPr>
      <w:r>
        <w:rPr>
          <w:sz w:val="20"/>
        </w:rPr>
        <w:t xml:space="preserve">(pieczęć adresowa Wykonawcy) </w:t>
      </w:r>
    </w:p>
    <w:p w:rsidR="003305B3" w:rsidRDefault="003305B3" w:rsidP="009D2D7F">
      <w:pPr>
        <w:pStyle w:val="Default"/>
        <w:rPr>
          <w:sz w:val="20"/>
        </w:rPr>
      </w:pPr>
    </w:p>
    <w:p w:rsidR="003305B3" w:rsidRDefault="00916AF9" w:rsidP="009D2D7F">
      <w:pPr>
        <w:pStyle w:val="Default"/>
        <w:rPr>
          <w:sz w:val="28"/>
          <w:szCs w:val="28"/>
        </w:rPr>
      </w:pPr>
      <w:r>
        <w:rPr>
          <w:b/>
          <w:bCs/>
          <w:sz w:val="28"/>
          <w:szCs w:val="28"/>
        </w:rPr>
        <w:t>Oświadczenie o przynależności do grupy kapitałowej</w:t>
      </w:r>
      <w:r w:rsidR="003305B3">
        <w:rPr>
          <w:b/>
          <w:bCs/>
          <w:sz w:val="28"/>
          <w:szCs w:val="28"/>
        </w:rPr>
        <w:t xml:space="preserve"> </w:t>
      </w:r>
    </w:p>
    <w:p w:rsidR="003305B3" w:rsidRDefault="003305B3" w:rsidP="009D2D7F">
      <w:pPr>
        <w:pStyle w:val="Default"/>
        <w:jc w:val="both"/>
      </w:pPr>
      <w:r w:rsidRPr="006E2659">
        <w:t xml:space="preserve">Oświadczam/my, że Wykonawca …………………………. </w:t>
      </w:r>
      <w:r w:rsidRPr="006E2659">
        <w:rPr>
          <w:vertAlign w:val="superscript"/>
        </w:rPr>
        <w:t>1</w:t>
      </w:r>
      <w:r w:rsidRPr="006E2659">
        <w:t xml:space="preserve"> do tej samej grupy kapitałowej w rozumieniu ustawy z dnia 16.02.2007 r. o ochronie konkurencji i konsumentów (Dz. U. </w:t>
      </w:r>
      <w:r w:rsidR="00916AF9">
        <w:t>2015</w:t>
      </w:r>
      <w:r w:rsidRPr="006E2659">
        <w:t xml:space="preserve">, poz. </w:t>
      </w:r>
      <w:r w:rsidR="00916AF9">
        <w:t>184, 1618 i 1634</w:t>
      </w:r>
      <w:r w:rsidRPr="006E2659">
        <w:t xml:space="preserve">) </w:t>
      </w:r>
    </w:p>
    <w:p w:rsidR="003305B3" w:rsidRDefault="003305B3" w:rsidP="009D2D7F">
      <w:pPr>
        <w:pStyle w:val="Default"/>
        <w:jc w:val="both"/>
      </w:pPr>
    </w:p>
    <w:p w:rsidR="003305B3" w:rsidRDefault="003305B3" w:rsidP="009D2D7F">
      <w:pPr>
        <w:pStyle w:val="Default"/>
        <w:jc w:val="center"/>
        <w:rPr>
          <w:vertAlign w:val="superscript"/>
        </w:rPr>
      </w:pPr>
      <w:r>
        <w:t xml:space="preserve">Lista podmiotów należących do tej samej grupy kapitałowej </w:t>
      </w:r>
      <w:r>
        <w:rPr>
          <w:vertAlign w:val="superscript"/>
        </w:rPr>
        <w:t>2</w:t>
      </w:r>
    </w:p>
    <w:p w:rsidR="003305B3" w:rsidRDefault="003305B3" w:rsidP="009D2D7F">
      <w:pPr>
        <w:pStyle w:val="Default"/>
        <w:jc w:val="center"/>
        <w:rPr>
          <w:vertAlign w:val="superscript"/>
        </w:rPr>
      </w:pPr>
    </w:p>
    <w:p w:rsidR="003305B3" w:rsidRDefault="003305B3" w:rsidP="009D2D7F">
      <w:pPr>
        <w:pStyle w:val="Defaul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384"/>
      </w:tblGrid>
      <w:tr w:rsidR="003305B3" w:rsidTr="00E625E9">
        <w:tc>
          <w:tcPr>
            <w:tcW w:w="828" w:type="dxa"/>
          </w:tcPr>
          <w:p w:rsidR="003305B3" w:rsidRPr="00E625E9" w:rsidRDefault="003305B3" w:rsidP="00176FD9">
            <w:pPr>
              <w:rPr>
                <w:b/>
              </w:rPr>
            </w:pPr>
            <w:r w:rsidRPr="00E625E9">
              <w:rPr>
                <w:b/>
              </w:rPr>
              <w:t>Lp.</w:t>
            </w:r>
          </w:p>
        </w:tc>
        <w:tc>
          <w:tcPr>
            <w:tcW w:w="8384" w:type="dxa"/>
          </w:tcPr>
          <w:p w:rsidR="003305B3" w:rsidRPr="00E625E9" w:rsidRDefault="003305B3" w:rsidP="00176FD9">
            <w:pPr>
              <w:rPr>
                <w:b/>
              </w:rPr>
            </w:pPr>
            <w:r w:rsidRPr="00E625E9">
              <w:rPr>
                <w:b/>
              </w:rPr>
              <w:t>Nazwa podmiotu</w:t>
            </w:r>
          </w:p>
        </w:tc>
      </w:tr>
      <w:tr w:rsidR="003305B3" w:rsidTr="00E625E9">
        <w:tc>
          <w:tcPr>
            <w:tcW w:w="828" w:type="dxa"/>
          </w:tcPr>
          <w:p w:rsidR="003305B3" w:rsidRDefault="003305B3" w:rsidP="00176FD9">
            <w:r>
              <w:t>1.</w:t>
            </w:r>
          </w:p>
        </w:tc>
        <w:tc>
          <w:tcPr>
            <w:tcW w:w="8384" w:type="dxa"/>
          </w:tcPr>
          <w:p w:rsidR="003305B3" w:rsidRDefault="003305B3" w:rsidP="00176FD9"/>
        </w:tc>
      </w:tr>
      <w:tr w:rsidR="003305B3" w:rsidTr="00E625E9">
        <w:tc>
          <w:tcPr>
            <w:tcW w:w="828" w:type="dxa"/>
          </w:tcPr>
          <w:p w:rsidR="003305B3" w:rsidRDefault="003305B3" w:rsidP="00176FD9">
            <w:r>
              <w:t>2.</w:t>
            </w:r>
          </w:p>
        </w:tc>
        <w:tc>
          <w:tcPr>
            <w:tcW w:w="8384" w:type="dxa"/>
          </w:tcPr>
          <w:p w:rsidR="003305B3" w:rsidRDefault="003305B3" w:rsidP="00176FD9"/>
        </w:tc>
      </w:tr>
      <w:tr w:rsidR="003305B3" w:rsidTr="00E625E9">
        <w:tc>
          <w:tcPr>
            <w:tcW w:w="828" w:type="dxa"/>
          </w:tcPr>
          <w:p w:rsidR="003305B3" w:rsidRDefault="003305B3" w:rsidP="00176FD9">
            <w:r>
              <w:t>3.</w:t>
            </w:r>
          </w:p>
        </w:tc>
        <w:tc>
          <w:tcPr>
            <w:tcW w:w="8384" w:type="dxa"/>
          </w:tcPr>
          <w:p w:rsidR="003305B3" w:rsidRDefault="003305B3" w:rsidP="00176FD9"/>
        </w:tc>
      </w:tr>
      <w:tr w:rsidR="003305B3" w:rsidTr="00E625E9">
        <w:tc>
          <w:tcPr>
            <w:tcW w:w="828" w:type="dxa"/>
          </w:tcPr>
          <w:p w:rsidR="003305B3" w:rsidRDefault="003305B3" w:rsidP="00176FD9">
            <w:r>
              <w:t>4</w:t>
            </w:r>
          </w:p>
        </w:tc>
        <w:tc>
          <w:tcPr>
            <w:tcW w:w="8384" w:type="dxa"/>
          </w:tcPr>
          <w:p w:rsidR="003305B3" w:rsidRDefault="003305B3" w:rsidP="00176FD9"/>
        </w:tc>
      </w:tr>
    </w:tbl>
    <w:p w:rsidR="003305B3" w:rsidRDefault="003305B3" w:rsidP="009D2D7F">
      <w:pPr>
        <w:rPr>
          <w:sz w:val="16"/>
          <w:szCs w:val="16"/>
        </w:rPr>
      </w:pPr>
      <w:r>
        <w:rPr>
          <w:sz w:val="16"/>
          <w:szCs w:val="16"/>
        </w:rPr>
        <w:t>UWAGA!</w:t>
      </w:r>
    </w:p>
    <w:p w:rsidR="003305B3" w:rsidRDefault="003305B3" w:rsidP="00DB61A7">
      <w:pPr>
        <w:numPr>
          <w:ilvl w:val="0"/>
          <w:numId w:val="2"/>
        </w:numPr>
        <w:rPr>
          <w:sz w:val="16"/>
          <w:szCs w:val="16"/>
        </w:rPr>
      </w:pPr>
      <w:r>
        <w:rPr>
          <w:sz w:val="16"/>
          <w:szCs w:val="16"/>
        </w:rPr>
        <w:t>Należy wpisać odpowiedni „należy lub „nie należy”</w:t>
      </w:r>
    </w:p>
    <w:p w:rsidR="003305B3" w:rsidRDefault="003305B3" w:rsidP="00DB61A7">
      <w:pPr>
        <w:numPr>
          <w:ilvl w:val="0"/>
          <w:numId w:val="2"/>
        </w:numPr>
        <w:rPr>
          <w:sz w:val="16"/>
          <w:szCs w:val="16"/>
        </w:rPr>
      </w:pPr>
      <w:r>
        <w:rPr>
          <w:sz w:val="16"/>
          <w:szCs w:val="16"/>
        </w:rPr>
        <w:t>Tabelę należy wypełnić, jeżeli wykonawcami w oświadczeniu  napisze, że należy do grupy kapitałowej</w:t>
      </w: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8"/>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DCC" w:rsidRDefault="007D0DCC">
      <w:r>
        <w:separator/>
      </w:r>
    </w:p>
  </w:endnote>
  <w:endnote w:type="continuationSeparator" w:id="0">
    <w:p w:rsidR="007D0DCC" w:rsidRDefault="007D0D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30" w:rsidRDefault="006B6030">
    <w:pPr>
      <w:pStyle w:val="Stopka"/>
      <w:jc w:val="center"/>
    </w:pPr>
    <w:r>
      <w:t>KZP/02/2017</w:t>
    </w:r>
  </w:p>
  <w:p w:rsidR="006B6030" w:rsidRDefault="006B6030">
    <w:pPr>
      <w:pStyle w:val="Stopka"/>
      <w:jc w:val="center"/>
    </w:pPr>
  </w:p>
  <w:p w:rsidR="006B6030" w:rsidRDefault="006B6030">
    <w:pPr>
      <w:pStyle w:val="Stopka"/>
      <w:jc w:val="center"/>
    </w:pPr>
    <w:r>
      <w:t xml:space="preserve">strona </w:t>
    </w:r>
    <w:r w:rsidR="00E325BA">
      <w:rPr>
        <w:rStyle w:val="Numerstrony"/>
      </w:rPr>
      <w:fldChar w:fldCharType="begin"/>
    </w:r>
    <w:r>
      <w:rPr>
        <w:rStyle w:val="Numerstrony"/>
      </w:rPr>
      <w:instrText xml:space="preserve"> PAGE </w:instrText>
    </w:r>
    <w:r w:rsidR="00E325BA">
      <w:rPr>
        <w:rStyle w:val="Numerstrony"/>
      </w:rPr>
      <w:fldChar w:fldCharType="separate"/>
    </w:r>
    <w:r w:rsidR="0094769F">
      <w:rPr>
        <w:rStyle w:val="Numerstrony"/>
        <w:noProof/>
      </w:rPr>
      <w:t>2</w:t>
    </w:r>
    <w:r w:rsidR="00E325BA">
      <w:rPr>
        <w:rStyle w:val="Numerstrony"/>
      </w:rPr>
      <w:fldChar w:fldCharType="end"/>
    </w:r>
    <w:r>
      <w:rPr>
        <w:rStyle w:val="Numerstrony"/>
      </w:rPr>
      <w:t>/</w:t>
    </w:r>
    <w:r w:rsidR="00E325BA">
      <w:rPr>
        <w:rStyle w:val="Numerstrony"/>
      </w:rPr>
      <w:fldChar w:fldCharType="begin"/>
    </w:r>
    <w:r>
      <w:rPr>
        <w:rStyle w:val="Numerstrony"/>
      </w:rPr>
      <w:instrText xml:space="preserve"> NUMPAGES </w:instrText>
    </w:r>
    <w:r w:rsidR="00E325BA">
      <w:rPr>
        <w:rStyle w:val="Numerstrony"/>
      </w:rPr>
      <w:fldChar w:fldCharType="separate"/>
    </w:r>
    <w:r w:rsidR="0094769F">
      <w:rPr>
        <w:rStyle w:val="Numerstrony"/>
        <w:noProof/>
      </w:rPr>
      <w:t>12</w:t>
    </w:r>
    <w:r w:rsidR="00E325BA">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DCC" w:rsidRDefault="007D0DCC">
      <w:r>
        <w:separator/>
      </w:r>
    </w:p>
  </w:footnote>
  <w:footnote w:type="continuationSeparator" w:id="0">
    <w:p w:rsidR="007D0DCC" w:rsidRDefault="007D0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9"/>
  </w:num>
  <w:num w:numId="5">
    <w:abstractNumId w:val="5"/>
  </w:num>
  <w:num w:numId="6">
    <w:abstractNumId w:val="6"/>
  </w:num>
  <w:num w:numId="7">
    <w:abstractNumId w:val="7"/>
  </w:num>
  <w:num w:numId="8">
    <w:abstractNumId w:val="1"/>
  </w:num>
  <w:num w:numId="9">
    <w:abstractNumId w:val="4"/>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61250"/>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F4B"/>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1130"/>
    <w:rsid w:val="00C347F6"/>
    <w:rsid w:val="00C35CF7"/>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BE62D-2B76-4E8A-9ECC-007BF056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2296</Words>
  <Characters>13780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6</cp:revision>
  <cp:lastPrinted>2017-02-03T12:19:00Z</cp:lastPrinted>
  <dcterms:created xsi:type="dcterms:W3CDTF">2017-02-02T15:03:00Z</dcterms:created>
  <dcterms:modified xsi:type="dcterms:W3CDTF">2017-02-03T12:19:00Z</dcterms:modified>
</cp:coreProperties>
</file>