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FC4AD6">
      <w:pPr>
        <w:rPr>
          <w:color w:val="000000"/>
        </w:rPr>
      </w:pPr>
      <w:r>
        <w:rPr>
          <w:color w:val="000000"/>
        </w:rPr>
        <w:t xml:space="preserve">na </w:t>
      </w:r>
      <w:r w:rsidR="00637A09">
        <w:rPr>
          <w:color w:val="000000"/>
        </w:rPr>
        <w:t>wyposażenie elektrotechniczne po</w:t>
      </w:r>
      <w:r>
        <w:rPr>
          <w:color w:val="000000"/>
        </w:rPr>
        <w:t>mieszczeń Laboratorium Procesów Kinetycznych</w:t>
      </w:r>
      <w:r w:rsidR="003305B3" w:rsidRPr="00DB3CAF">
        <w:rPr>
          <w:color w:val="000000"/>
        </w:rPr>
        <w:t>:</w:t>
      </w:r>
    </w:p>
    <w:p w:rsidR="003305B3" w:rsidRPr="00DB3CAF" w:rsidRDefault="003305B3">
      <w:pPr>
        <w:jc w:val="center"/>
        <w:rPr>
          <w:color w:val="000000"/>
        </w:rPr>
      </w:pPr>
      <w:r w:rsidRPr="00DB3CAF">
        <w:rPr>
          <w:color w:val="000000"/>
        </w:rPr>
        <w:t xml:space="preserve">dla </w:t>
      </w:r>
      <w:r w:rsidR="00FC4AD6">
        <w:rPr>
          <w:color w:val="000000"/>
        </w:rPr>
        <w:t>Instytutu Sieci Badawczej - Przemysłowy</w:t>
      </w:r>
      <w:r w:rsidRPr="00DB3CAF">
        <w:rPr>
          <w:color w:val="000000"/>
        </w:rPr>
        <w:t xml:space="preserve"> Instytut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52692F">
        <w:rPr>
          <w:color w:val="000000"/>
          <w:sz w:val="24"/>
        </w:rPr>
        <w:t xml:space="preserve"> KZP/1</w:t>
      </w:r>
      <w:r w:rsidR="00637A09">
        <w:rPr>
          <w:color w:val="000000"/>
          <w:sz w:val="24"/>
        </w:rPr>
        <w:t>1</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 xml:space="preserve">1. Cena za </w:t>
      </w:r>
      <w:r w:rsidR="00FC4AD6">
        <w:rPr>
          <w:color w:val="000000"/>
        </w:rPr>
        <w:t>wykonanie całości przedmiotu zamówienia</w:t>
      </w:r>
      <w:r w:rsidRPr="00DB3CAF">
        <w:rPr>
          <w:color w:val="000000"/>
        </w:rPr>
        <w:t xml:space="preserve">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w:t>
      </w:r>
      <w:r w:rsidR="00FC4AD6">
        <w:rPr>
          <w:color w:val="000000"/>
        </w:rPr>
        <w:t>wykonania</w:t>
      </w:r>
      <w:r w:rsidRPr="00DB3CAF">
        <w:rPr>
          <w:color w:val="000000"/>
        </w:rPr>
        <w:t xml:space="preserve"> nie później niż </w:t>
      </w:r>
      <w:r w:rsidR="00FC4AD6">
        <w:rPr>
          <w:color w:val="000000"/>
        </w:rPr>
        <w:t>………..</w:t>
      </w:r>
    </w:p>
    <w:p w:rsidR="003305B3" w:rsidRPr="00DB3CAF" w:rsidRDefault="00FC4AD6" w:rsidP="006E531C">
      <w:pPr>
        <w:ind w:firstLine="709"/>
        <w:rPr>
          <w:color w:val="000000"/>
        </w:rPr>
      </w:pPr>
      <w:r>
        <w:rPr>
          <w:color w:val="000000"/>
        </w:rPr>
        <w:t xml:space="preserve">miesięcy od daty </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 xml:space="preserve">Przez wykonanie </w:t>
      </w:r>
      <w:r w:rsidR="00FC4AD6">
        <w:rPr>
          <w:color w:val="000000"/>
        </w:rPr>
        <w:t>przedmiotu zamówienia</w:t>
      </w:r>
      <w:r w:rsidRPr="00DB3CAF">
        <w:rPr>
          <w:color w:val="000000"/>
        </w:rPr>
        <w:t xml:space="preserve"> rozumie się </w:t>
      </w:r>
      <w:r w:rsidR="00FC4AD6">
        <w:rPr>
          <w:color w:val="000000"/>
        </w:rPr>
        <w:t xml:space="preserve">realizację zamówienia </w:t>
      </w:r>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FC4AD6" w:rsidRPr="00FC4AD6" w:rsidRDefault="00FC4AD6" w:rsidP="00FC4AD6">
      <w:pPr>
        <w:jc w:val="center"/>
        <w:rPr>
          <w:b/>
          <w:color w:val="000000"/>
          <w:u w:val="single"/>
        </w:rPr>
      </w:pPr>
      <w:r w:rsidRPr="00FC4AD6">
        <w:rPr>
          <w:b/>
          <w:color w:val="000000"/>
          <w:u w:val="single"/>
        </w:rPr>
        <w:t>Zakres prac</w:t>
      </w:r>
    </w:p>
    <w:p w:rsidR="003305B3" w:rsidRPr="00DB3CAF" w:rsidRDefault="003305B3">
      <w:pPr>
        <w:rPr>
          <w:color w:val="000000"/>
        </w:rPr>
      </w:pPr>
      <w:r w:rsidRPr="00DB3CAF">
        <w:rPr>
          <w:color w:val="000000"/>
          <w:u w:val="single"/>
        </w:rPr>
        <w:t>Uwaga</w:t>
      </w:r>
      <w:r w:rsidRPr="00DB3CAF">
        <w:rPr>
          <w:color w:val="000000"/>
        </w:rPr>
        <w:t xml:space="preserve">: w kolumnie „oferowane” należy wpisać konkretne </w:t>
      </w:r>
      <w:r w:rsidR="005E29F8">
        <w:rPr>
          <w:color w:val="000000"/>
        </w:rPr>
        <w:t xml:space="preserve">oferowane </w:t>
      </w:r>
      <w:r w:rsidRPr="00DB3CAF">
        <w:rPr>
          <w:color w:val="000000"/>
        </w:rPr>
        <w:t>wartości.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FC4AD6" w:rsidRPr="00496AF8" w:rsidRDefault="00FC4AD6" w:rsidP="00FC4AD6">
      <w:pPr>
        <w:jc w:val="both"/>
      </w:pPr>
      <w:r w:rsidRPr="00496AF8">
        <w:t xml:space="preserve">Zakres </w:t>
      </w:r>
      <w:r w:rsidR="00637A09">
        <w:t>dostawy obejmuje wyposażenie wraz z montażem i uruchomieniem:</w:t>
      </w:r>
    </w:p>
    <w:p w:rsidR="00280B3D" w:rsidRDefault="00280B3D" w:rsidP="006E531C">
      <w:pPr>
        <w:rPr>
          <w:b/>
          <w:color w:val="000000"/>
        </w:rPr>
      </w:pPr>
    </w:p>
    <w:p w:rsidR="00520E72" w:rsidRPr="005B6954" w:rsidRDefault="00520E72" w:rsidP="00520E72">
      <w:pPr>
        <w:rPr>
          <w:b/>
          <w:bCs/>
          <w:color w:val="000000"/>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5"/>
        <w:gridCol w:w="4591"/>
      </w:tblGrid>
      <w:tr w:rsidR="00FC4AD6" w:rsidRPr="00B40010" w:rsidTr="00FC4AD6">
        <w:trPr>
          <w:trHeight w:val="307"/>
        </w:trPr>
        <w:tc>
          <w:tcPr>
            <w:tcW w:w="5615" w:type="dxa"/>
          </w:tcPr>
          <w:p w:rsidR="00FC4AD6" w:rsidRPr="00B40010" w:rsidRDefault="00FC4AD6" w:rsidP="00520E72">
            <w:pPr>
              <w:rPr>
                <w:b/>
              </w:rPr>
            </w:pPr>
            <w:r w:rsidRPr="00B40010">
              <w:rPr>
                <w:b/>
                <w:sz w:val="22"/>
                <w:szCs w:val="22"/>
              </w:rPr>
              <w:t>Żądany przez zamawiającego</w:t>
            </w:r>
          </w:p>
        </w:tc>
        <w:tc>
          <w:tcPr>
            <w:tcW w:w="4591" w:type="dxa"/>
          </w:tcPr>
          <w:p w:rsidR="00FC4AD6" w:rsidRPr="00B40010" w:rsidRDefault="00FC4AD6" w:rsidP="00520E72">
            <w:pPr>
              <w:rPr>
                <w:b/>
              </w:rPr>
            </w:pPr>
            <w:r w:rsidRPr="00B40010">
              <w:rPr>
                <w:b/>
                <w:sz w:val="22"/>
                <w:szCs w:val="22"/>
              </w:rPr>
              <w:t xml:space="preserve"> Oferowany</w:t>
            </w:r>
          </w:p>
        </w:tc>
      </w:tr>
      <w:tr w:rsidR="00FC4AD6" w:rsidRPr="001F7AAC" w:rsidTr="00FC4AD6">
        <w:trPr>
          <w:trHeight w:val="307"/>
        </w:trPr>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5393"/>
            </w:tblGrid>
            <w:tr w:rsidR="00FC4AD6" w:rsidRPr="00575819" w:rsidTr="00FC4AD6">
              <w:trPr>
                <w:trHeight w:val="6392"/>
                <w:tblCellSpacing w:w="0" w:type="dxa"/>
              </w:trPr>
              <w:tc>
                <w:tcPr>
                  <w:tcW w:w="5000" w:type="pct"/>
                  <w:hideMark/>
                </w:tcPr>
                <w:p w:rsidR="00637A09" w:rsidRDefault="00637A09" w:rsidP="00637A09">
                  <w:pPr>
                    <w:pStyle w:val="Podtytu"/>
                    <w:numPr>
                      <w:ilvl w:val="0"/>
                      <w:numId w:val="10"/>
                    </w:numPr>
                    <w:jc w:val="both"/>
                    <w:rPr>
                      <w:rFonts w:cstheme="minorHAnsi"/>
                      <w:color w:val="auto"/>
                      <w:sz w:val="20"/>
                    </w:rPr>
                  </w:pPr>
                  <w:r>
                    <w:rPr>
                      <w:rFonts w:cstheme="minorHAnsi"/>
                      <w:color w:val="auto"/>
                      <w:sz w:val="20"/>
                    </w:rPr>
                    <w:t>elektryczne, szynowe transportery podwieszane:</w:t>
                  </w:r>
                </w:p>
                <w:p w:rsidR="00637A09" w:rsidRDefault="00637A09" w:rsidP="00637A09">
                  <w:pPr>
                    <w:pStyle w:val="Bezodstpw"/>
                    <w:numPr>
                      <w:ilvl w:val="1"/>
                      <w:numId w:val="10"/>
                    </w:numPr>
                    <w:jc w:val="both"/>
                  </w:pPr>
                  <w:r>
                    <w:t>6 sztuk dł. min. 25 m wzdłuż hali badań</w:t>
                  </w:r>
                </w:p>
                <w:p w:rsidR="00637A09" w:rsidRPr="00097BCF" w:rsidRDefault="00637A09" w:rsidP="00637A09">
                  <w:pPr>
                    <w:pStyle w:val="Bezodstpw"/>
                    <w:numPr>
                      <w:ilvl w:val="1"/>
                      <w:numId w:val="10"/>
                    </w:numPr>
                    <w:jc w:val="both"/>
                  </w:pPr>
                  <w:r>
                    <w:t>jedna sztuka w poprzek hali przed główną barierą energochłonną</w:t>
                  </w:r>
                </w:p>
                <w:p w:rsidR="00637A09" w:rsidRDefault="00637A09" w:rsidP="00637A09">
                  <w:pPr>
                    <w:pStyle w:val="Bezodstpw"/>
                    <w:numPr>
                      <w:ilvl w:val="1"/>
                      <w:numId w:val="10"/>
                    </w:numPr>
                    <w:jc w:val="both"/>
                  </w:pPr>
                  <w:r>
                    <w:t>płynna regulacja prędkości poruszania się sterowana mikroprocesorowo,</w:t>
                  </w:r>
                </w:p>
                <w:p w:rsidR="00637A09" w:rsidRDefault="00637A09" w:rsidP="00637A09">
                  <w:pPr>
                    <w:pStyle w:val="Bezodstpw"/>
                    <w:numPr>
                      <w:ilvl w:val="1"/>
                      <w:numId w:val="10"/>
                    </w:numPr>
                    <w:jc w:val="both"/>
                  </w:pPr>
                  <w:r>
                    <w:t>zmiana kierunku i prędkości w trakcie jazdy,</w:t>
                  </w:r>
                </w:p>
                <w:p w:rsidR="00637A09" w:rsidRDefault="00637A09" w:rsidP="00637A09">
                  <w:pPr>
                    <w:pStyle w:val="Bezodstpw"/>
                    <w:numPr>
                      <w:ilvl w:val="1"/>
                      <w:numId w:val="10"/>
                    </w:numPr>
                    <w:jc w:val="both"/>
                  </w:pPr>
                  <w:r>
                    <w:t xml:space="preserve">możliwość ręcznego przesunięcia wózka bez utraty pozycji (odczyt odległości z </w:t>
                  </w:r>
                  <w:proofErr w:type="spellStart"/>
                  <w:r>
                    <w:t>enkodera</w:t>
                  </w:r>
                  <w:proofErr w:type="spellEnd"/>
                  <w:r>
                    <w:t xml:space="preserve"> inkrementalnego),</w:t>
                  </w:r>
                </w:p>
                <w:p w:rsidR="00637A09" w:rsidRDefault="00637A09" w:rsidP="00637A09">
                  <w:pPr>
                    <w:pStyle w:val="Bezodstpw"/>
                    <w:numPr>
                      <w:ilvl w:val="1"/>
                      <w:numId w:val="10"/>
                    </w:numPr>
                    <w:jc w:val="both"/>
                  </w:pPr>
                  <w:r>
                    <w:t>osiąganie zadanej pozycji z dokładnością +/-10cm,</w:t>
                  </w:r>
                </w:p>
                <w:p w:rsidR="00637A09" w:rsidRDefault="00637A09" w:rsidP="00637A09">
                  <w:pPr>
                    <w:pStyle w:val="Bezodstpw"/>
                    <w:numPr>
                      <w:ilvl w:val="1"/>
                      <w:numId w:val="10"/>
                    </w:numPr>
                    <w:jc w:val="both"/>
                  </w:pPr>
                  <w:r>
                    <w:t>sterowanie wszystkimi transporterami w trybie pojedynczym i grupowym,</w:t>
                  </w:r>
                </w:p>
                <w:p w:rsidR="00637A09" w:rsidRDefault="00637A09" w:rsidP="00637A09">
                  <w:pPr>
                    <w:pStyle w:val="Bezodstpw"/>
                    <w:numPr>
                      <w:ilvl w:val="1"/>
                      <w:numId w:val="10"/>
                    </w:numPr>
                    <w:jc w:val="both"/>
                  </w:pPr>
                  <w:r>
                    <w:t xml:space="preserve">uchwyty transporterów przystosowane do montażu lekkich, płaskich  obiektów w postaci przesłon i graficznych wzorów kalibracyjnych na planszach o maksymalnych wymiarach 100 x 70 cm, </w:t>
                  </w:r>
                </w:p>
                <w:p w:rsidR="00637A09" w:rsidRDefault="00637A09" w:rsidP="00637A09">
                  <w:pPr>
                    <w:pStyle w:val="Bezodstpw"/>
                    <w:numPr>
                      <w:ilvl w:val="1"/>
                      <w:numId w:val="10"/>
                    </w:numPr>
                    <w:jc w:val="both"/>
                  </w:pPr>
                  <w:proofErr w:type="spellStart"/>
                  <w:r>
                    <w:t>obrót</w:t>
                  </w:r>
                  <w:proofErr w:type="spellEnd"/>
                  <w:r>
                    <w:t xml:space="preserve"> uchwytu transportera sterowany cyfrowo w zakresie 720 </w:t>
                  </w:r>
                  <w:r>
                    <w:rPr>
                      <w:rFonts w:ascii="Times New Roman" w:hAnsi="Times New Roman"/>
                    </w:rPr>
                    <w:t>º</w:t>
                  </w:r>
                  <w:r>
                    <w:t xml:space="preserve">, przy dokładności zadawania kąta nie gorszej niż 10 </w:t>
                  </w:r>
                  <w:r>
                    <w:rPr>
                      <w:rFonts w:ascii="Times New Roman" w:hAnsi="Times New Roman"/>
                    </w:rPr>
                    <w:t xml:space="preserve">º </w:t>
                  </w:r>
                  <w:r>
                    <w:t xml:space="preserve">(odczyt kąta z </w:t>
                  </w:r>
                  <w:proofErr w:type="spellStart"/>
                  <w:r>
                    <w:t>enkodera</w:t>
                  </w:r>
                  <w:proofErr w:type="spellEnd"/>
                  <w:r>
                    <w:t xml:space="preserve"> inkrementalnego)</w:t>
                  </w:r>
                  <w:r>
                    <w:rPr>
                      <w:rFonts w:ascii="Times New Roman" w:hAnsi="Times New Roman"/>
                    </w:rPr>
                    <w:t>,</w:t>
                  </w:r>
                </w:p>
                <w:p w:rsidR="00637A09" w:rsidRDefault="00637A09" w:rsidP="00637A09">
                  <w:pPr>
                    <w:pStyle w:val="Bezodstpw"/>
                    <w:numPr>
                      <w:ilvl w:val="1"/>
                      <w:numId w:val="10"/>
                    </w:numPr>
                    <w:jc w:val="both"/>
                  </w:pPr>
                  <w:r>
                    <w:t xml:space="preserve">podświetlenie obiektów w uchwycie, kolor RGB i </w:t>
                  </w:r>
                  <w:proofErr w:type="spellStart"/>
                  <w:r>
                    <w:t>wł</w:t>
                  </w:r>
                  <w:proofErr w:type="spellEnd"/>
                  <w:r>
                    <w:t>/wył.</w:t>
                  </w:r>
                  <w:r w:rsidRPr="00687378">
                    <w:t xml:space="preserve"> </w:t>
                  </w:r>
                  <w:r>
                    <w:t>programowalne z poziomu aplikacji,</w:t>
                  </w:r>
                </w:p>
                <w:p w:rsidR="00637A09" w:rsidRDefault="00637A09" w:rsidP="00637A09">
                  <w:pPr>
                    <w:pStyle w:val="Bezodstpw"/>
                    <w:numPr>
                      <w:ilvl w:val="1"/>
                      <w:numId w:val="10"/>
                    </w:numPr>
                    <w:jc w:val="both"/>
                  </w:pPr>
                  <w:r>
                    <w:t>wózki transporterów wyposażone w kamery cyfrowe do obserwacji obiektu w uchwycie.</w:t>
                  </w:r>
                </w:p>
                <w:p w:rsidR="00637A09" w:rsidRPr="00B07DDC" w:rsidRDefault="00637A09" w:rsidP="00637A09">
                  <w:pPr>
                    <w:pStyle w:val="Bezodstpw"/>
                    <w:ind w:left="1440"/>
                    <w:jc w:val="both"/>
                  </w:pPr>
                </w:p>
                <w:p w:rsidR="00637A09" w:rsidRDefault="00637A09" w:rsidP="00637A09">
                  <w:pPr>
                    <w:pStyle w:val="Podtytu"/>
                    <w:numPr>
                      <w:ilvl w:val="0"/>
                      <w:numId w:val="10"/>
                    </w:numPr>
                    <w:jc w:val="both"/>
                    <w:rPr>
                      <w:rFonts w:cstheme="minorHAnsi"/>
                      <w:color w:val="auto"/>
                      <w:sz w:val="20"/>
                    </w:rPr>
                  </w:pPr>
                  <w:r w:rsidRPr="00594831">
                    <w:rPr>
                      <w:rFonts w:cstheme="minorHAnsi"/>
                      <w:color w:val="auto"/>
                      <w:sz w:val="20"/>
                    </w:rPr>
                    <w:t>oświetlenie główne, techniczne i awaryjne hali badań,</w:t>
                  </w:r>
                </w:p>
                <w:p w:rsidR="00637A09" w:rsidRDefault="00637A09" w:rsidP="00637A09">
                  <w:pPr>
                    <w:pStyle w:val="Bezodstpw"/>
                    <w:ind w:firstLine="708"/>
                    <w:jc w:val="both"/>
                  </w:pPr>
                  <w:r>
                    <w:t>Wymagania do oświetlenia głównego:</w:t>
                  </w:r>
                </w:p>
                <w:p w:rsidR="00637A09" w:rsidRDefault="00637A09" w:rsidP="00637A09">
                  <w:pPr>
                    <w:pStyle w:val="Bezodstpw"/>
                    <w:numPr>
                      <w:ilvl w:val="1"/>
                      <w:numId w:val="10"/>
                    </w:numPr>
                    <w:jc w:val="both"/>
                  </w:pPr>
                  <w:r>
                    <w:t>technologia LED,</w:t>
                  </w:r>
                </w:p>
                <w:p w:rsidR="00637A09" w:rsidRDefault="00637A09" w:rsidP="00637A09">
                  <w:pPr>
                    <w:pStyle w:val="Bezodstpw"/>
                    <w:numPr>
                      <w:ilvl w:val="1"/>
                      <w:numId w:val="10"/>
                    </w:numPr>
                    <w:jc w:val="both"/>
                  </w:pPr>
                  <w:r>
                    <w:t xml:space="preserve">zapewniające natężenie światła w każdym miejscu na hali badań min. 1000 </w:t>
                  </w:r>
                  <w:proofErr w:type="spellStart"/>
                  <w:r>
                    <w:t>lux</w:t>
                  </w:r>
                  <w:proofErr w:type="spellEnd"/>
                  <w:r>
                    <w:t xml:space="preserve">, </w:t>
                  </w:r>
                </w:p>
                <w:p w:rsidR="00637A09" w:rsidRDefault="00637A09" w:rsidP="00637A09">
                  <w:pPr>
                    <w:pStyle w:val="Bezodstpw"/>
                    <w:numPr>
                      <w:ilvl w:val="1"/>
                      <w:numId w:val="10"/>
                    </w:numPr>
                    <w:jc w:val="both"/>
                  </w:pPr>
                  <w:r>
                    <w:t xml:space="preserve">możliwość płynnej regulacji natężenia światła z odczytem aktualnej wartości </w:t>
                  </w:r>
                  <w:r w:rsidRPr="00DB7407">
                    <w:t>jasności,</w:t>
                  </w:r>
                </w:p>
                <w:p w:rsidR="00637A09" w:rsidRDefault="00637A09" w:rsidP="00637A09">
                  <w:pPr>
                    <w:pStyle w:val="Bezodstpw"/>
                    <w:numPr>
                      <w:ilvl w:val="1"/>
                      <w:numId w:val="10"/>
                    </w:numPr>
                    <w:jc w:val="both"/>
                  </w:pPr>
                  <w:r>
                    <w:lastRenderedPageBreak/>
                    <w:t>sterowanie z poziomu aplikacji – grupowo i każdą lampą niezależnie,</w:t>
                  </w:r>
                </w:p>
                <w:p w:rsidR="00637A09" w:rsidRDefault="00637A09" w:rsidP="00637A09">
                  <w:pPr>
                    <w:pStyle w:val="Bezodstpw"/>
                    <w:numPr>
                      <w:ilvl w:val="1"/>
                      <w:numId w:val="10"/>
                    </w:numPr>
                    <w:jc w:val="both"/>
                  </w:pPr>
                  <w:r>
                    <w:t>funkcja stroboskopu w zakresie częstotliwości nie mniejszym niż 1 Hz – 25 Hz ze zmiennym wypełnieniem.</w:t>
                  </w:r>
                </w:p>
                <w:p w:rsidR="00637A09" w:rsidRDefault="00637A09" w:rsidP="00637A09">
                  <w:pPr>
                    <w:pStyle w:val="Bezodstpw"/>
                    <w:ind w:left="708"/>
                    <w:jc w:val="both"/>
                  </w:pPr>
                </w:p>
                <w:p w:rsidR="00637A09" w:rsidRDefault="00637A09" w:rsidP="00637A09">
                  <w:pPr>
                    <w:pStyle w:val="Bezodstpw"/>
                    <w:ind w:left="708"/>
                    <w:jc w:val="both"/>
                  </w:pPr>
                  <w:r>
                    <w:t xml:space="preserve">Pozostałe oświetlenie zgodnie z projektem. Należy założyć, że żelbetowy sufit hali i ściany powyżej sufitu podwieszanego będą pokryte pianką PUR o grubości min. 15 </w:t>
                  </w:r>
                  <w:proofErr w:type="spellStart"/>
                  <w:r>
                    <w:t>cm</w:t>
                  </w:r>
                  <w:proofErr w:type="spellEnd"/>
                  <w:r>
                    <w:t>.</w:t>
                  </w:r>
                </w:p>
                <w:p w:rsidR="00637A09" w:rsidRPr="003E3973" w:rsidRDefault="00637A09" w:rsidP="00637A09">
                  <w:pPr>
                    <w:pStyle w:val="Bezodstpw"/>
                    <w:ind w:left="1440"/>
                    <w:jc w:val="both"/>
                  </w:pPr>
                </w:p>
                <w:p w:rsidR="00637A09" w:rsidRDefault="00637A09" w:rsidP="00637A09">
                  <w:pPr>
                    <w:pStyle w:val="Podtytu"/>
                    <w:numPr>
                      <w:ilvl w:val="0"/>
                      <w:numId w:val="10"/>
                    </w:numPr>
                    <w:jc w:val="both"/>
                    <w:rPr>
                      <w:rFonts w:cstheme="minorHAnsi"/>
                      <w:color w:val="auto"/>
                      <w:sz w:val="20"/>
                    </w:rPr>
                  </w:pPr>
                  <w:r>
                    <w:rPr>
                      <w:rFonts w:cstheme="minorHAnsi"/>
                      <w:color w:val="auto"/>
                      <w:sz w:val="20"/>
                    </w:rPr>
                    <w:t>nagłośnienie</w:t>
                  </w:r>
                </w:p>
                <w:p w:rsidR="00637A09" w:rsidRDefault="00637A09" w:rsidP="00637A09">
                  <w:pPr>
                    <w:ind w:left="708"/>
                    <w:jc w:val="both"/>
                  </w:pPr>
                  <w:r>
                    <w:t>Minimum dwa głośniki ze wzmacniaczem strefowym i mikrofonem, zapewniające dobrą słyszalność komunikatów głosowych na całej hali badań.</w:t>
                  </w:r>
                </w:p>
                <w:p w:rsidR="00637A09" w:rsidRDefault="00637A09" w:rsidP="00637A09">
                  <w:pPr>
                    <w:ind w:firstLine="708"/>
                    <w:jc w:val="both"/>
                  </w:pPr>
                  <w:r>
                    <w:t>Możliwości systemu:</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odtworzenia dowolnego dźwięku w postaci cyfrowej,</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wydawania komend głosowych z pomocą mikrofonu zamontowanego w pomieszczeniu sterowni,</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odtwarzania cyfrowego dźwięków (co najmniej w formacie mp3) w sposób losowy i w losowym czasie, oraz w wyniku zdefiniowanych zdarzeń systemowych.</w:t>
                  </w:r>
                </w:p>
                <w:p w:rsidR="00637A09" w:rsidRDefault="00637A09" w:rsidP="00637A09">
                  <w:pPr>
                    <w:pStyle w:val="Podtytu"/>
                    <w:numPr>
                      <w:ilvl w:val="0"/>
                      <w:numId w:val="10"/>
                    </w:numPr>
                    <w:jc w:val="both"/>
                    <w:rPr>
                      <w:rFonts w:cstheme="minorHAnsi"/>
                      <w:color w:val="auto"/>
                      <w:sz w:val="20"/>
                    </w:rPr>
                  </w:pPr>
                  <w:r w:rsidRPr="00594831">
                    <w:rPr>
                      <w:rFonts w:cstheme="minorHAnsi"/>
                      <w:color w:val="auto"/>
                      <w:sz w:val="20"/>
                    </w:rPr>
                    <w:t>system monitoringu i rejestracji prowadzonych badań,</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wyposażony w min. 10 przenośnych kamer IP umożliwiających identyfikację osoby z odległości od 1m do 15 m przy natężeniu światła w hali równym 30% wartości maksymalnej oświetlenia głównego,</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minimum 20 punktów umożliwiających podłączenie kamer IP rozmieszczonych w całej hali umożliwiających obserwację badań w zależności od aranżacji wnętrza i przyjętego scenariusza badań,</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programowalny rejestrator IP umożliwiający zapis materiału wideo w pętli trwającej minimum 3 dni jednocześnie ze wszystkich kamer w laboratorium, </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rejestracja uruchamiana automatycznie po wykryciu ruchu w obserwowanej strefie,</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komputer wyposażony w system operacyjny Linux/Windows wraz z dwoma monitorami FullHD 24” i jednym dotykowym min. 20”, oraz oprogramowaniem niezbędnym do </w:t>
                  </w:r>
                  <w:r w:rsidRPr="00637A09">
                    <w:rPr>
                      <w:lang w:val="pl-PL"/>
                    </w:rPr>
                    <w:lastRenderedPageBreak/>
                    <w:t>stacjonarnej obsługi dostarczanych systemów laboratorium, sterowania wyposażeniem i dowolnie konfigurowanego podglądu ze wszystkich kamer,</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tablet z kranem o przekątnej min. 10” do zarządzania wyposażeniem laboratorium spoza pomieszczenia sterowni.</w:t>
                  </w:r>
                </w:p>
                <w:p w:rsidR="00637A09" w:rsidRDefault="00637A09" w:rsidP="00637A09">
                  <w:pPr>
                    <w:pStyle w:val="Podtytu"/>
                    <w:numPr>
                      <w:ilvl w:val="0"/>
                      <w:numId w:val="10"/>
                    </w:numPr>
                    <w:jc w:val="both"/>
                    <w:rPr>
                      <w:rFonts w:cstheme="minorHAnsi"/>
                      <w:color w:val="auto"/>
                      <w:sz w:val="20"/>
                    </w:rPr>
                  </w:pPr>
                  <w:r w:rsidRPr="00594831">
                    <w:rPr>
                      <w:rFonts w:cstheme="minorHAnsi"/>
                      <w:color w:val="auto"/>
                      <w:sz w:val="20"/>
                    </w:rPr>
                    <w:t>system ostrzegania i kontroli dostępu do strefy badań,</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drzwi na halę badań i główne wejście do Laboratorium wyposażone w system kontroli dostępu z czujnikiem otwarcia, oraz dzwonki, </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zwalnianie elektrozamków możliwe za pomocą przycisków umieszczonych w pomieszczeniu sterowni, </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Drzwi na halę badań (2 pary) wyposażone po stronie zewnętrznej w sygnalizatory „Uwaga badania” sterowane z pomieszczenia sterowni, przełącznikiem na hali badań oraz z aplikacji.</w:t>
                  </w:r>
                </w:p>
                <w:p w:rsidR="00637A09" w:rsidRPr="00097BCF" w:rsidRDefault="00637A09" w:rsidP="00637A09">
                  <w:pPr>
                    <w:ind w:left="708"/>
                    <w:jc w:val="both"/>
                  </w:pPr>
                </w:p>
                <w:p w:rsidR="00637A09" w:rsidRDefault="00637A09" w:rsidP="00637A09">
                  <w:pPr>
                    <w:pStyle w:val="Podtytu"/>
                    <w:numPr>
                      <w:ilvl w:val="0"/>
                      <w:numId w:val="10"/>
                    </w:numPr>
                    <w:jc w:val="both"/>
                    <w:rPr>
                      <w:rFonts w:cstheme="minorHAnsi"/>
                      <w:color w:val="auto"/>
                      <w:sz w:val="20"/>
                    </w:rPr>
                  </w:pPr>
                  <w:r w:rsidRPr="00594831">
                    <w:rPr>
                      <w:rFonts w:cstheme="minorHAnsi"/>
                      <w:color w:val="auto"/>
                      <w:sz w:val="20"/>
                    </w:rPr>
                    <w:t>zintegrowany system sterowania wyposażeniem i nastaw</w:t>
                  </w:r>
                  <w:r>
                    <w:rPr>
                      <w:rFonts w:cstheme="minorHAnsi"/>
                      <w:color w:val="auto"/>
                      <w:sz w:val="20"/>
                    </w:rPr>
                    <w:t>ami parametrów środowiskowych w </w:t>
                  </w:r>
                  <w:r w:rsidRPr="00594831">
                    <w:rPr>
                      <w:rFonts w:cstheme="minorHAnsi"/>
                      <w:color w:val="auto"/>
                      <w:sz w:val="20"/>
                    </w:rPr>
                    <w:t>hali badań,</w:t>
                  </w:r>
                </w:p>
                <w:p w:rsidR="00637A09" w:rsidRPr="00637A09" w:rsidRDefault="00637A09" w:rsidP="00637A09">
                  <w:pPr>
                    <w:pStyle w:val="Akapitzlist"/>
                    <w:jc w:val="both"/>
                    <w:rPr>
                      <w:i/>
                      <w:lang w:val="pl-PL"/>
                    </w:rPr>
                  </w:pPr>
                  <w:r w:rsidRPr="00637A09">
                    <w:rPr>
                      <w:lang w:val="pl-PL"/>
                    </w:rPr>
                    <w:t>Sterowanie wszystkimi aktywnymi elementami wyposażenia (transportery, oświetlenie, nagłośnienie, wentylacja z klimatyzacją itp.) możliwe za pomocą urządzeń mobilnych (telefon, tablet) oraz stacjonarnego komputera zarządzającego w sterowni, z wykorzystaniem oprogramowania opartego o technologię WEB (bez konieczności instalowania dodatkowego oprogramowania).</w:t>
                  </w:r>
                </w:p>
                <w:p w:rsidR="00637A09" w:rsidRDefault="00637A09" w:rsidP="00637A09">
                  <w:pPr>
                    <w:ind w:firstLine="708"/>
                    <w:jc w:val="both"/>
                  </w:pPr>
                  <w:r>
                    <w:t>Wymagania do aplikacji sterującej:</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możliwość tworzenia algorytmów badań w oparciu o zainstalowane urządzenia, wykonywanie z góry określonych ustawień transporterów (pozycja i obrót) w oparciu o stałe, zmienne, liczby pseudolosowe, wydarzenia systemowe,</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możliwość dowolnego tworzenia widoków ekranów (layout sterowania wyposażeniem),</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możliwość logowania się wielu użytkowników z różnymi poziomami </w:t>
                  </w:r>
                  <w:r w:rsidRPr="00637A09">
                    <w:rPr>
                      <w:lang w:val="pl-PL"/>
                    </w:rPr>
                    <w:lastRenderedPageBreak/>
                    <w:t>dostępu,</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możliwość odtwarzania dźwięków poprzez system audio umieszczony na hali, </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sterowanie i zadawanie z wyprzedzeniem wymaganej temperatury na hali badań,</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włączanie, wyłączanie i zmiana trybu pracy istniejącego systemu wentylacji opartego o centralę wentylacyjną Dan-Poltherm DP 6/9 X oraz urządzenia filtrujące Klimawent UFO (dopuszcza się sterowanie centralą wentylacyjną z oddzielnej aplikacji).</w:t>
                  </w:r>
                </w:p>
                <w:p w:rsidR="00637A09" w:rsidRPr="000C74E3" w:rsidRDefault="00637A09" w:rsidP="00637A09">
                  <w:pPr>
                    <w:jc w:val="both"/>
                  </w:pPr>
                </w:p>
                <w:p w:rsidR="00637A09" w:rsidRDefault="00637A09" w:rsidP="00637A09">
                  <w:pPr>
                    <w:pStyle w:val="Podtytu"/>
                    <w:numPr>
                      <w:ilvl w:val="0"/>
                      <w:numId w:val="10"/>
                    </w:numPr>
                    <w:jc w:val="both"/>
                    <w:rPr>
                      <w:rFonts w:cstheme="minorHAnsi"/>
                      <w:color w:val="auto"/>
                      <w:sz w:val="20"/>
                    </w:rPr>
                  </w:pPr>
                  <w:r>
                    <w:rPr>
                      <w:rFonts w:cstheme="minorHAnsi"/>
                      <w:color w:val="auto"/>
                      <w:sz w:val="20"/>
                    </w:rPr>
                    <w:br w:type="column"/>
                  </w:r>
                  <w:r w:rsidRPr="00594831">
                    <w:rPr>
                      <w:rFonts w:cstheme="minorHAnsi"/>
                      <w:color w:val="auto"/>
                      <w:sz w:val="20"/>
                    </w:rPr>
                    <w:t>instalacja elektryczna i informatyczna oraz podstawowe wyposażenie elektryczne laboratorium,</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rozdzielnica elektryczna wraz z niezbędnymi zabezpieczeniami obejmującymi wszystkie obwody zawarte w projekcie elektrycznym Laboratorium i niezbędny zapas przestrzeni na ewentualną rozbudowę,</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podłączenie do kabla 5 x 50mm2, </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gniazda elektryczne i włączniki wg projektu wraz z instalacją przewodową,</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gniazda sieciowe wg projektu wraz z instalacją przewodową i urządzeniami rozdzielającymi (np. switch’e, router’y itp.),</w:t>
                  </w:r>
                </w:p>
                <w:p w:rsidR="00637A09" w:rsidRDefault="00637A09" w:rsidP="00637A09">
                  <w:pPr>
                    <w:pStyle w:val="Podtytu"/>
                    <w:numPr>
                      <w:ilvl w:val="0"/>
                      <w:numId w:val="10"/>
                    </w:numPr>
                    <w:jc w:val="both"/>
                    <w:rPr>
                      <w:rFonts w:cstheme="minorHAnsi"/>
                      <w:color w:val="auto"/>
                      <w:sz w:val="20"/>
                    </w:rPr>
                  </w:pPr>
                  <w:r w:rsidRPr="00594831">
                    <w:rPr>
                      <w:rFonts w:cstheme="minorHAnsi"/>
                      <w:color w:val="auto"/>
                      <w:sz w:val="20"/>
                    </w:rPr>
                    <w:t>podstawowe wyposażenie stanowisk badaw</w:t>
                  </w:r>
                  <w:r>
                    <w:rPr>
                      <w:rFonts w:cstheme="minorHAnsi"/>
                      <w:color w:val="auto"/>
                      <w:sz w:val="20"/>
                    </w:rPr>
                    <w:t>czych (przesłony, stoliki itp.)</w:t>
                  </w:r>
                </w:p>
                <w:p w:rsidR="00637A09" w:rsidRDefault="00637A09" w:rsidP="00637A09">
                  <w:pPr>
                    <w:ind w:left="708"/>
                    <w:jc w:val="both"/>
                  </w:pPr>
                  <w:r>
                    <w:t>Sześć podstawowych, indywidualnych stanowisk badawczych zlokalizowanych w przedniej części hali (przy ścianie nawiewnej) wyposażonych w przesłony oddzielające, podręczne stoliki oraz sterowniki do transporterów</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przesłony między stanowiskowe i boczne (na ścianach) zbudowane z blachy stalowej i płyt z przezroczystego tworzywa odpornego na zarysowania, mocowane do podłogi i sufitu (ew. ściany), z możliwością demontażu przy użyciu podstawowych narzędzi,</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brak przesłony między dwoma ostatnimi stanowiskami zapewniający swobodny przejazd szerokości min. 2 m,</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przesłony po obu stronach  stanowiska (gdy występują) wyposażone w składane </w:t>
                  </w:r>
                  <w:r w:rsidRPr="00637A09">
                    <w:rPr>
                      <w:lang w:val="pl-PL"/>
                    </w:rPr>
                    <w:lastRenderedPageBreak/>
                    <w:t>półki,</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cztery pierwsze stanowiska wyposażone w stoliki w postaci blatu mocowanego między sąsiadującymi przesłonami, łatwo demontowalnego bez użycia narzędzi,</w:t>
                  </w:r>
                </w:p>
                <w:p w:rsidR="00637A09" w:rsidRPr="00637A09" w:rsidRDefault="00637A09" w:rsidP="00637A09">
                  <w:pPr>
                    <w:pStyle w:val="Akapitzlist"/>
                    <w:numPr>
                      <w:ilvl w:val="1"/>
                      <w:numId w:val="10"/>
                    </w:numPr>
                    <w:spacing w:after="160" w:line="259" w:lineRule="auto"/>
                    <w:jc w:val="both"/>
                    <w:rPr>
                      <w:lang w:val="pl-PL"/>
                    </w:rPr>
                  </w:pPr>
                  <w:r w:rsidRPr="00637A09">
                    <w:rPr>
                      <w:lang w:val="pl-PL"/>
                    </w:rPr>
                    <w:t xml:space="preserve">każde stanowisko wyposażone w tablet z ekranem 7”, umożliwiający wygodną obsługę systemu i pełniący rolę sterownika do transporterów, z możliwością ładowania na półce stanowiska. </w:t>
                  </w:r>
                </w:p>
                <w:p w:rsidR="00637A09" w:rsidRPr="00F93272" w:rsidRDefault="00637A09" w:rsidP="00637A09">
                  <w:pPr>
                    <w:ind w:left="708"/>
                    <w:jc w:val="both"/>
                  </w:pPr>
                  <w:r>
                    <w:t xml:space="preserve"> </w:t>
                  </w:r>
                </w:p>
                <w:p w:rsidR="00637A09" w:rsidRDefault="00637A09" w:rsidP="00637A09">
                  <w:pPr>
                    <w:jc w:val="both"/>
                    <w:rPr>
                      <w:sz w:val="20"/>
                      <w:szCs w:val="20"/>
                    </w:rPr>
                  </w:pPr>
                  <w:r>
                    <w:rPr>
                      <w:sz w:val="20"/>
                      <w:szCs w:val="20"/>
                    </w:rPr>
                    <w:t>Wymagane jest zintegrowanie wyposażenia i instalacji będących przedmiotem zamówi</w:t>
                  </w:r>
                  <w:bookmarkStart w:id="0" w:name="_GoBack"/>
                  <w:bookmarkEnd w:id="0"/>
                  <w:r>
                    <w:rPr>
                      <w:sz w:val="20"/>
                      <w:szCs w:val="20"/>
                    </w:rPr>
                    <w:t xml:space="preserve">enia z zabudową balistyczną tworzoną równolegle wg projektu posiadanego przez Zamawiającego. </w:t>
                  </w:r>
                </w:p>
                <w:p w:rsidR="00637A09" w:rsidRDefault="00637A09" w:rsidP="00637A09">
                  <w:pPr>
                    <w:jc w:val="both"/>
                    <w:rPr>
                      <w:sz w:val="20"/>
                      <w:szCs w:val="20"/>
                    </w:rPr>
                  </w:pPr>
                  <w:r>
                    <w:rPr>
                      <w:sz w:val="20"/>
                      <w:szCs w:val="20"/>
                    </w:rPr>
                    <w:t xml:space="preserve">Czas wykonania : do 6 </w:t>
                  </w:r>
                  <w:proofErr w:type="spellStart"/>
                  <w:r>
                    <w:rPr>
                      <w:sz w:val="20"/>
                      <w:szCs w:val="20"/>
                    </w:rPr>
                    <w:t>m-cy</w:t>
                  </w:r>
                  <w:proofErr w:type="spellEnd"/>
                  <w:r>
                    <w:rPr>
                      <w:sz w:val="20"/>
                      <w:szCs w:val="20"/>
                    </w:rPr>
                    <w:t xml:space="preserve"> od daty podpisania umowy.</w:t>
                  </w:r>
                </w:p>
                <w:p w:rsidR="00637A09" w:rsidRDefault="00637A09" w:rsidP="00637A09">
                  <w:pPr>
                    <w:jc w:val="both"/>
                    <w:rPr>
                      <w:sz w:val="20"/>
                      <w:szCs w:val="20"/>
                    </w:rPr>
                  </w:pPr>
                  <w:r>
                    <w:rPr>
                      <w:sz w:val="20"/>
                      <w:szCs w:val="20"/>
                    </w:rPr>
                    <w:t xml:space="preserve">Gwarancja na wykonanie: min. 36 </w:t>
                  </w:r>
                  <w:proofErr w:type="spellStart"/>
                  <w:r>
                    <w:rPr>
                      <w:sz w:val="20"/>
                      <w:szCs w:val="20"/>
                    </w:rPr>
                    <w:t>m-cy</w:t>
                  </w:r>
                  <w:proofErr w:type="spellEnd"/>
                  <w:r>
                    <w:rPr>
                      <w:sz w:val="20"/>
                      <w:szCs w:val="20"/>
                    </w:rPr>
                    <w:t xml:space="preserve">. </w:t>
                  </w:r>
                </w:p>
                <w:p w:rsidR="00637A09" w:rsidRDefault="00637A09" w:rsidP="00637A09">
                  <w:pPr>
                    <w:jc w:val="both"/>
                    <w:rPr>
                      <w:sz w:val="20"/>
                      <w:szCs w:val="20"/>
                    </w:rPr>
                  </w:pPr>
                  <w:r>
                    <w:rPr>
                      <w:sz w:val="20"/>
                      <w:szCs w:val="20"/>
                    </w:rPr>
                    <w:t>Płatność: etapami, wg harmonogramu ustalonego z Wykonawcą w terminie do dwóch tygodni od podpisania umowy.</w:t>
                  </w:r>
                </w:p>
                <w:p w:rsidR="00FC4AD6" w:rsidRPr="00AF6824" w:rsidRDefault="00FC4AD6" w:rsidP="00637A09">
                  <w:pPr>
                    <w:jc w:val="both"/>
                  </w:pPr>
                </w:p>
              </w:tc>
            </w:tr>
          </w:tbl>
          <w:p w:rsidR="00FC4AD6" w:rsidRPr="00B7198D" w:rsidRDefault="00FC4AD6" w:rsidP="00E34B6E">
            <w:pPr>
              <w:tabs>
                <w:tab w:val="left" w:pos="1050"/>
              </w:tabs>
            </w:pPr>
          </w:p>
        </w:tc>
        <w:tc>
          <w:tcPr>
            <w:tcW w:w="4591" w:type="dxa"/>
          </w:tcPr>
          <w:p w:rsidR="00FC4AD6" w:rsidRPr="001F7AAC" w:rsidRDefault="00FC4AD6" w:rsidP="00520E72">
            <w:pPr>
              <w:pStyle w:val="Standard"/>
              <w:rPr>
                <w:b/>
                <w:sz w:val="22"/>
                <w:szCs w:val="22"/>
              </w:rPr>
            </w:pPr>
          </w:p>
        </w:tc>
      </w:tr>
    </w:tbl>
    <w:p w:rsidR="00817276" w:rsidRDefault="00817276" w:rsidP="009F4DFC">
      <w:pPr>
        <w:spacing w:line="360" w:lineRule="auto"/>
        <w:rPr>
          <w:b/>
          <w:color w:val="00000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Pr="005E29F8" w:rsidRDefault="005E29F8" w:rsidP="005E29F8">
      <w:pPr>
        <w:adjustRightInd w:val="0"/>
        <w:jc w:val="both"/>
        <w:rPr>
          <w:b/>
        </w:rPr>
      </w:pPr>
      <w:r w:rsidRPr="005E29F8">
        <w:rPr>
          <w:b/>
        </w:rPr>
        <w:t>Cena brutto łącznie za wykonanie przedmiotu zamówienia: ……………………………….. zł</w:t>
      </w:r>
    </w:p>
    <w:p w:rsidR="005E29F8" w:rsidRPr="005E29F8" w:rsidRDefault="005E29F8" w:rsidP="005E29F8">
      <w:pPr>
        <w:adjustRightInd w:val="0"/>
        <w:jc w:val="both"/>
        <w:rPr>
          <w:b/>
        </w:rPr>
      </w:pPr>
      <w:r w:rsidRPr="005E29F8">
        <w:rPr>
          <w:b/>
        </w:rPr>
        <w:t>W tym VAT……%</w:t>
      </w:r>
    </w:p>
    <w:p w:rsidR="005E29F8" w:rsidRPr="005E29F8" w:rsidRDefault="005E29F8" w:rsidP="005E29F8">
      <w:pPr>
        <w:adjustRightInd w:val="0"/>
        <w:jc w:val="both"/>
        <w:rPr>
          <w:b/>
        </w:rPr>
      </w:pPr>
    </w:p>
    <w:p w:rsidR="005E29F8" w:rsidRDefault="005E29F8" w:rsidP="005E29F8">
      <w:pPr>
        <w:adjustRightInd w:val="0"/>
        <w:jc w:val="both"/>
        <w:rPr>
          <w:b/>
        </w:rPr>
      </w:pPr>
      <w:r w:rsidRPr="005E29F8">
        <w:rPr>
          <w:b/>
        </w:rPr>
        <w:t>Słownie wartość brutto: ……………………………………………………..</w:t>
      </w:r>
    </w:p>
    <w:p w:rsidR="005E29F8" w:rsidRDefault="005E29F8" w:rsidP="005E29F8">
      <w:pPr>
        <w:adjustRightInd w:val="0"/>
        <w:jc w:val="both"/>
        <w:rPr>
          <w:b/>
        </w:rPr>
      </w:pPr>
    </w:p>
    <w:p w:rsidR="005E29F8" w:rsidRPr="005E29F8" w:rsidRDefault="005E29F8" w:rsidP="005E29F8">
      <w:pPr>
        <w:adjustRightInd w:val="0"/>
        <w:jc w:val="both"/>
        <w:rPr>
          <w:b/>
          <w:u w:val="single"/>
        </w:rPr>
      </w:pPr>
      <w:r w:rsidRPr="005E29F8">
        <w:rPr>
          <w:b/>
          <w:u w:val="single"/>
        </w:rPr>
        <w:t>Do oferty Wykonawca może dołączyć szczegółowy kosztorys z rozbiciem na przewidywane etapy realizacji zamówienia.</w:t>
      </w: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7E29B4">
        <w:rPr>
          <w:sz w:val="28"/>
          <w:szCs w:val="28"/>
        </w:rPr>
        <w:t>KZP/10</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5E29F8" w:rsidP="00D06075">
      <w:pPr>
        <w:ind w:left="500"/>
        <w:jc w:val="center"/>
        <w:rPr>
          <w:rFonts w:eastAsia="Garamond"/>
          <w:b/>
          <w:i/>
        </w:rPr>
      </w:pPr>
      <w:r>
        <w:rPr>
          <w:rFonts w:eastAsia="Garamond"/>
          <w:b/>
          <w:i/>
        </w:rPr>
        <w:t>Na wykonanie zabezpieczeń</w:t>
      </w:r>
    </w:p>
    <w:p w:rsidR="00D06075" w:rsidRPr="00B65BE8" w:rsidRDefault="004647E0" w:rsidP="00D06075">
      <w:pPr>
        <w:jc w:val="center"/>
      </w:pPr>
      <w:r>
        <w:t>KZP/10</w:t>
      </w:r>
      <w:r w:rsidR="00D06075" w:rsidRPr="00B65BE8">
        <w:t>/201</w:t>
      </w:r>
      <w:r w:rsidR="005E29F8">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074" w:rsidRDefault="00E72074">
      <w:r>
        <w:separator/>
      </w:r>
    </w:p>
  </w:endnote>
  <w:endnote w:type="continuationSeparator" w:id="0">
    <w:p w:rsidR="00E72074" w:rsidRDefault="00E720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637A09">
    <w:pPr>
      <w:pStyle w:val="Stopka"/>
      <w:jc w:val="center"/>
    </w:pPr>
    <w:r>
      <w:t>KZP/11</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7B0746">
      <w:rPr>
        <w:rStyle w:val="Numerstrony"/>
      </w:rPr>
      <w:fldChar w:fldCharType="begin"/>
    </w:r>
    <w:r>
      <w:rPr>
        <w:rStyle w:val="Numerstrony"/>
      </w:rPr>
      <w:instrText xml:space="preserve"> PAGE </w:instrText>
    </w:r>
    <w:r w:rsidR="007B0746">
      <w:rPr>
        <w:rStyle w:val="Numerstrony"/>
      </w:rPr>
      <w:fldChar w:fldCharType="separate"/>
    </w:r>
    <w:r w:rsidR="00637A09">
      <w:rPr>
        <w:rStyle w:val="Numerstrony"/>
        <w:noProof/>
      </w:rPr>
      <w:t>3</w:t>
    </w:r>
    <w:r w:rsidR="007B0746">
      <w:rPr>
        <w:rStyle w:val="Numerstrony"/>
      </w:rPr>
      <w:fldChar w:fldCharType="end"/>
    </w:r>
    <w:r>
      <w:rPr>
        <w:rStyle w:val="Numerstrony"/>
      </w:rPr>
      <w:t>/</w:t>
    </w:r>
    <w:r w:rsidR="007B0746">
      <w:rPr>
        <w:rStyle w:val="Numerstrony"/>
      </w:rPr>
      <w:fldChar w:fldCharType="begin"/>
    </w:r>
    <w:r>
      <w:rPr>
        <w:rStyle w:val="Numerstrony"/>
      </w:rPr>
      <w:instrText xml:space="preserve"> NUMPAGES </w:instrText>
    </w:r>
    <w:r w:rsidR="007B0746">
      <w:rPr>
        <w:rStyle w:val="Numerstrony"/>
      </w:rPr>
      <w:fldChar w:fldCharType="separate"/>
    </w:r>
    <w:r w:rsidR="00637A09">
      <w:rPr>
        <w:rStyle w:val="Numerstrony"/>
        <w:noProof/>
      </w:rPr>
      <w:t>15</w:t>
    </w:r>
    <w:r w:rsidR="007B0746">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074" w:rsidRDefault="00E72074">
      <w:r>
        <w:separator/>
      </w:r>
    </w:p>
  </w:footnote>
  <w:footnote w:type="continuationSeparator" w:id="0">
    <w:p w:rsidR="00E72074" w:rsidRDefault="00E72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56127C8"/>
    <w:multiLevelType w:val="hybridMultilevel"/>
    <w:tmpl w:val="77FA2C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0"/>
  </w:num>
  <w:num w:numId="5">
    <w:abstractNumId w:val="1"/>
  </w:num>
  <w:num w:numId="6">
    <w:abstractNumId w:val="5"/>
  </w:num>
  <w:num w:numId="7">
    <w:abstractNumId w:val="9"/>
  </w:num>
  <w:num w:numId="8">
    <w:abstractNumId w:val="7"/>
  </w:num>
  <w:num w:numId="9">
    <w:abstractNumId w:val="4"/>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3C4D"/>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E6F0C"/>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5702"/>
    <w:rsid w:val="003660E4"/>
    <w:rsid w:val="0037066E"/>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647E0"/>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92F"/>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29F8"/>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37A09"/>
    <w:rsid w:val="00641193"/>
    <w:rsid w:val="006435EE"/>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4AE"/>
    <w:rsid w:val="00771512"/>
    <w:rsid w:val="00773FDB"/>
    <w:rsid w:val="00775830"/>
    <w:rsid w:val="00776C05"/>
    <w:rsid w:val="00780208"/>
    <w:rsid w:val="00780455"/>
    <w:rsid w:val="007825E3"/>
    <w:rsid w:val="00785921"/>
    <w:rsid w:val="007865CF"/>
    <w:rsid w:val="00787199"/>
    <w:rsid w:val="00790FE9"/>
    <w:rsid w:val="007A04D5"/>
    <w:rsid w:val="007A058C"/>
    <w:rsid w:val="007A63EC"/>
    <w:rsid w:val="007B0746"/>
    <w:rsid w:val="007B0ED1"/>
    <w:rsid w:val="007B65FB"/>
    <w:rsid w:val="007B7150"/>
    <w:rsid w:val="007C2426"/>
    <w:rsid w:val="007C6EDD"/>
    <w:rsid w:val="007D10B7"/>
    <w:rsid w:val="007D64F5"/>
    <w:rsid w:val="007E1113"/>
    <w:rsid w:val="007E29B4"/>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219"/>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1F12"/>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2074"/>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4AD6"/>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11"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 w:type="paragraph" w:styleId="Podtytu">
    <w:name w:val="Subtitle"/>
    <w:basedOn w:val="Normalny"/>
    <w:next w:val="Normalny"/>
    <w:link w:val="PodtytuZnak"/>
    <w:uiPriority w:val="11"/>
    <w:qFormat/>
    <w:locked/>
    <w:rsid w:val="00637A09"/>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637A09"/>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FB4B2-45E2-48A8-911D-48C0BBBD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3152</Words>
  <Characters>18914</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22022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2019-07-15T06:19:00Z</dcterms:created>
  <dcterms:modified xsi:type="dcterms:W3CDTF">2019-07-15T06:19:00Z</dcterms:modified>
</cp:coreProperties>
</file>